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66E05" w:rsidP="00423988">
      <w:pPr>
        <w:rPr>
          <w:sz w:val="26"/>
          <w:szCs w:val="26"/>
        </w:rPr>
      </w:pPr>
      <w:r>
        <w:rPr>
          <w:sz w:val="26"/>
          <w:szCs w:val="26"/>
        </w:rPr>
        <w:t>18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BF1C51">
        <w:rPr>
          <w:sz w:val="26"/>
          <w:szCs w:val="26"/>
        </w:rPr>
        <w:t>57</w:t>
      </w:r>
      <w:r w:rsidR="00485DF3" w:rsidRPr="00A8412A">
        <w:rPr>
          <w:sz w:val="26"/>
          <w:szCs w:val="26"/>
        </w:rPr>
        <w:t>-</w:t>
      </w:r>
      <w:r w:rsidR="00BF1C51">
        <w:rPr>
          <w:sz w:val="26"/>
          <w:szCs w:val="26"/>
        </w:rPr>
        <w:t>359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47F8D">
        <w:rPr>
          <w:b/>
          <w:sz w:val="28"/>
          <w:szCs w:val="28"/>
        </w:rPr>
        <w:t>на 2025 год и на плановый период 2026 и 2027 годов</w:t>
      </w:r>
    </w:p>
    <w:p w:rsidR="00735F44" w:rsidRDefault="00735F44" w:rsidP="00735F4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D7BE4">
        <w:rPr>
          <w:szCs w:val="28"/>
        </w:rPr>
        <w:t>в редакции Решения от 2</w:t>
      </w:r>
      <w:r>
        <w:rPr>
          <w:szCs w:val="28"/>
        </w:rPr>
        <w:t>1</w:t>
      </w:r>
      <w:r w:rsidRPr="000D7BE4">
        <w:rPr>
          <w:szCs w:val="28"/>
        </w:rPr>
        <w:t>.02.202</w:t>
      </w:r>
      <w:r>
        <w:rPr>
          <w:szCs w:val="28"/>
        </w:rPr>
        <w:t>5 № 59</w:t>
      </w:r>
      <w:r w:rsidRPr="000D7BE4">
        <w:rPr>
          <w:szCs w:val="28"/>
        </w:rPr>
        <w:t>-3</w:t>
      </w:r>
      <w:r>
        <w:rPr>
          <w:szCs w:val="28"/>
        </w:rPr>
        <w:t>73</w:t>
      </w:r>
      <w:r>
        <w:rPr>
          <w:sz w:val="28"/>
          <w:szCs w:val="28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год:</w:t>
      </w:r>
    </w:p>
    <w:p w:rsidR="000252CC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35F44">
        <w:rPr>
          <w:sz w:val="28"/>
          <w:szCs w:val="28"/>
        </w:rPr>
        <w:t>1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013</w:t>
      </w:r>
      <w:r w:rsidR="008D6C5C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067</w:t>
      </w:r>
      <w:r w:rsidR="008D6C5C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908</w:t>
      </w:r>
      <w:r w:rsidR="008D6C5C" w:rsidRPr="00A8412A">
        <w:rPr>
          <w:sz w:val="28"/>
          <w:szCs w:val="28"/>
        </w:rPr>
        <w:t>,</w:t>
      </w:r>
      <w:r w:rsidR="00735F44">
        <w:rPr>
          <w:sz w:val="28"/>
          <w:szCs w:val="28"/>
        </w:rPr>
        <w:t>60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0E4EB2" w:rsidRPr="00DB1A0D" w:rsidRDefault="000E4EB2" w:rsidP="000E4EB2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</w:t>
      </w:r>
      <w:r>
        <w:rPr>
          <w:sz w:val="22"/>
        </w:rPr>
        <w:t>73</w:t>
      </w:r>
      <w:r w:rsidRPr="008F61D8">
        <w:rPr>
          <w:sz w:val="22"/>
        </w:rPr>
        <w:t>)</w:t>
      </w:r>
    </w:p>
    <w:p w:rsidR="00C41B26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35F44">
        <w:rPr>
          <w:szCs w:val="28"/>
        </w:rPr>
        <w:t>1</w:t>
      </w:r>
      <w:r w:rsidR="00735F44" w:rsidRPr="00A8412A">
        <w:rPr>
          <w:szCs w:val="28"/>
        </w:rPr>
        <w:t> </w:t>
      </w:r>
      <w:r w:rsidR="00735F44">
        <w:rPr>
          <w:szCs w:val="28"/>
        </w:rPr>
        <w:t>070</w:t>
      </w:r>
      <w:r w:rsidR="00773EC2" w:rsidRPr="00A8412A">
        <w:rPr>
          <w:szCs w:val="28"/>
        </w:rPr>
        <w:t> </w:t>
      </w:r>
      <w:r w:rsidR="00735F44">
        <w:rPr>
          <w:szCs w:val="28"/>
        </w:rPr>
        <w:t>017</w:t>
      </w:r>
      <w:r w:rsidR="00773EC2" w:rsidRPr="00A8412A">
        <w:rPr>
          <w:szCs w:val="28"/>
        </w:rPr>
        <w:t> </w:t>
      </w:r>
      <w:r w:rsidR="00735F44">
        <w:rPr>
          <w:szCs w:val="28"/>
        </w:rPr>
        <w:t>485</w:t>
      </w:r>
      <w:r w:rsidR="00773EC2" w:rsidRPr="00A8412A">
        <w:rPr>
          <w:szCs w:val="28"/>
        </w:rPr>
        <w:t>,</w:t>
      </w:r>
      <w:r w:rsidR="00773EC2">
        <w:rPr>
          <w:szCs w:val="28"/>
        </w:rPr>
        <w:t>9</w:t>
      </w:r>
      <w:r w:rsidR="00735F44">
        <w:rPr>
          <w:szCs w:val="28"/>
        </w:rPr>
        <w:t>4</w:t>
      </w:r>
      <w:r w:rsidR="00773EC2" w:rsidRPr="00A8412A">
        <w:rPr>
          <w:szCs w:val="28"/>
        </w:rPr>
        <w:t>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Pr="00735F44" w:rsidRDefault="00FA1488" w:rsidP="00735F4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35F44">
        <w:rPr>
          <w:sz w:val="28"/>
          <w:szCs w:val="28"/>
        </w:rPr>
        <w:t xml:space="preserve">3) </w:t>
      </w:r>
      <w:r w:rsidR="00735F44" w:rsidRPr="00735F44">
        <w:rPr>
          <w:sz w:val="28"/>
          <w:szCs w:val="28"/>
        </w:rPr>
        <w:t xml:space="preserve">Превышение расходов над доходами районного бюджета в 2025 году определить в размере 55 949 577,34 рублей, или 58,7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A1488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</w:t>
      </w:r>
      <w:r w:rsidR="00FA1488"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347F8D">
        <w:rPr>
          <w:spacing w:val="-2"/>
          <w:szCs w:val="28"/>
        </w:rPr>
        <w:t>6</w:t>
      </w:r>
      <w:r w:rsidR="001A6584" w:rsidRPr="00A8412A">
        <w:rPr>
          <w:spacing w:val="-2"/>
          <w:szCs w:val="28"/>
        </w:rPr>
        <w:t xml:space="preserve"> и 202</w:t>
      </w:r>
      <w:r w:rsidR="00347F8D">
        <w:rPr>
          <w:spacing w:val="-2"/>
          <w:szCs w:val="28"/>
        </w:rPr>
        <w:t>7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Pr="00A8412A">
        <w:rPr>
          <w:spacing w:val="-2"/>
          <w:sz w:val="28"/>
          <w:szCs w:val="28"/>
        </w:rPr>
        <w:t xml:space="preserve"> год в сумме </w:t>
      </w:r>
      <w:r w:rsidR="00773EC2">
        <w:rPr>
          <w:spacing w:val="-2"/>
          <w:sz w:val="28"/>
          <w:szCs w:val="28"/>
        </w:rPr>
        <w:t>8</w:t>
      </w:r>
      <w:r w:rsidR="00735F44">
        <w:rPr>
          <w:spacing w:val="-2"/>
          <w:sz w:val="28"/>
          <w:szCs w:val="28"/>
        </w:rPr>
        <w:t>74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9</w:t>
      </w:r>
      <w:r w:rsidR="00735F44">
        <w:rPr>
          <w:sz w:val="28"/>
          <w:szCs w:val="28"/>
        </w:rPr>
        <w:t>37</w:t>
      </w:r>
      <w:r w:rsidR="00D8061D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982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71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7246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год в сумме </w:t>
      </w:r>
      <w:r w:rsidR="00735F44">
        <w:rPr>
          <w:spacing w:val="-2"/>
          <w:sz w:val="28"/>
          <w:szCs w:val="28"/>
        </w:rPr>
        <w:t>834</w:t>
      </w:r>
      <w:r w:rsidR="00D8061D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135</w:t>
      </w:r>
      <w:r w:rsidR="00D8061D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871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79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35F44">
        <w:rPr>
          <w:spacing w:val="-2"/>
          <w:sz w:val="28"/>
          <w:szCs w:val="28"/>
        </w:rPr>
        <w:t>874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937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982</w:t>
      </w:r>
      <w:r w:rsidR="00735F44" w:rsidRPr="00A8412A">
        <w:rPr>
          <w:spacing w:val="-2"/>
          <w:sz w:val="28"/>
          <w:szCs w:val="28"/>
        </w:rPr>
        <w:t>,</w:t>
      </w:r>
      <w:r w:rsidR="00735F44">
        <w:rPr>
          <w:spacing w:val="-2"/>
          <w:sz w:val="28"/>
          <w:szCs w:val="28"/>
        </w:rPr>
        <w:t>71</w:t>
      </w:r>
      <w:r w:rsidR="00735F44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9</w:t>
      </w:r>
      <w:r w:rsidR="00D8061D" w:rsidRPr="00A8412A">
        <w:rPr>
          <w:spacing w:val="-2"/>
          <w:sz w:val="28"/>
          <w:szCs w:val="28"/>
        </w:rPr>
        <w:t> </w:t>
      </w:r>
      <w:r w:rsidR="00773EC2">
        <w:rPr>
          <w:spacing w:val="-2"/>
          <w:sz w:val="28"/>
          <w:szCs w:val="28"/>
        </w:rPr>
        <w:t>504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827</w:t>
      </w:r>
      <w:r w:rsidR="00141269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56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35F44">
        <w:rPr>
          <w:spacing w:val="-2"/>
          <w:sz w:val="28"/>
          <w:szCs w:val="28"/>
        </w:rPr>
        <w:t>834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135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871</w:t>
      </w:r>
      <w:r w:rsidR="00735F44" w:rsidRPr="00A8412A">
        <w:rPr>
          <w:spacing w:val="-2"/>
          <w:sz w:val="28"/>
          <w:szCs w:val="28"/>
        </w:rPr>
        <w:t>,</w:t>
      </w:r>
      <w:r w:rsidR="00735F44">
        <w:rPr>
          <w:spacing w:val="-2"/>
          <w:sz w:val="28"/>
          <w:szCs w:val="28"/>
        </w:rPr>
        <w:t>79</w:t>
      </w:r>
      <w:r w:rsidR="00735F44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18</w:t>
      </w:r>
      <w:r w:rsidR="007171A0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840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307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41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lastRenderedPageBreak/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347F8D">
        <w:rPr>
          <w:szCs w:val="28"/>
        </w:rPr>
        <w:t xml:space="preserve">на 2025 год и на плановый период </w:t>
      </w:r>
      <w:r>
        <w:rPr>
          <w:szCs w:val="28"/>
        </w:rPr>
        <w:t xml:space="preserve">2026 и 2027 </w:t>
      </w:r>
      <w:r w:rsidR="00347F8D">
        <w:rPr>
          <w:szCs w:val="28"/>
        </w:rPr>
        <w:t>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0E4EB2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347F8D">
        <w:rPr>
          <w:iCs/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0E4EB2" w:rsidRPr="00A8412A" w:rsidRDefault="000E4EB2" w:rsidP="00423988">
      <w:pPr>
        <w:pStyle w:val="ad"/>
        <w:spacing w:line="276" w:lineRule="auto"/>
        <w:rPr>
          <w:iCs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 xml:space="preserve">3. </w:t>
      </w:r>
      <w:r w:rsidR="00421247">
        <w:rPr>
          <w:szCs w:val="28"/>
        </w:rPr>
        <w:t>Установить, что часть прибыли муниципальных</w:t>
      </w:r>
      <w:r w:rsidR="00421247" w:rsidRPr="00CA71EE">
        <w:rPr>
          <w:szCs w:val="28"/>
        </w:rPr>
        <w:t xml:space="preserve"> унитарных предприятий </w:t>
      </w:r>
      <w:r w:rsidR="00421247" w:rsidRPr="00A8412A">
        <w:rPr>
          <w:szCs w:val="28"/>
        </w:rPr>
        <w:t>Азовского немецкого национального муниципального района</w:t>
      </w:r>
      <w:r w:rsidR="00421247" w:rsidRPr="00CA71EE">
        <w:rPr>
          <w:szCs w:val="28"/>
        </w:rPr>
        <w:t xml:space="preserve"> Омской области, остающейся после уплаты налогов и иных обязательных платежей, зачисляется в </w:t>
      </w:r>
      <w:r w:rsidR="00421247">
        <w:rPr>
          <w:szCs w:val="28"/>
        </w:rPr>
        <w:t>районный</w:t>
      </w:r>
      <w:r w:rsidR="00421247" w:rsidRPr="00CA71EE">
        <w:rPr>
          <w:szCs w:val="28"/>
        </w:rPr>
        <w:t xml:space="preserve"> бюджет в ра</w:t>
      </w:r>
      <w:r w:rsidR="00421247">
        <w:rPr>
          <w:szCs w:val="28"/>
        </w:rPr>
        <w:t>змере 25 процентов</w:t>
      </w:r>
      <w:r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сумме </w:t>
      </w:r>
      <w:r w:rsidR="00D546A5" w:rsidRPr="00A8412A">
        <w:rPr>
          <w:szCs w:val="28"/>
        </w:rPr>
        <w:t>1</w:t>
      </w:r>
      <w:r w:rsidR="008A4DDC">
        <w:rPr>
          <w:szCs w:val="28"/>
        </w:rPr>
        <w:t>1</w:t>
      </w:r>
      <w:r w:rsidR="009120CA" w:rsidRPr="00A8412A">
        <w:rPr>
          <w:szCs w:val="28"/>
        </w:rPr>
        <w:t> </w:t>
      </w:r>
      <w:r w:rsidR="00735F44">
        <w:rPr>
          <w:szCs w:val="28"/>
        </w:rPr>
        <w:t>628</w:t>
      </w:r>
      <w:r w:rsidR="009120CA" w:rsidRPr="00A8412A">
        <w:rPr>
          <w:szCs w:val="28"/>
        </w:rPr>
        <w:t> </w:t>
      </w:r>
      <w:r w:rsidR="00735F44">
        <w:rPr>
          <w:szCs w:val="28"/>
        </w:rPr>
        <w:t>3</w:t>
      </w:r>
      <w:r w:rsidR="008A4DDC">
        <w:rPr>
          <w:szCs w:val="28"/>
        </w:rPr>
        <w:t>96</w:t>
      </w:r>
      <w:r w:rsidR="009120CA" w:rsidRPr="00A8412A">
        <w:rPr>
          <w:szCs w:val="28"/>
        </w:rPr>
        <w:t>,</w:t>
      </w:r>
      <w:r w:rsidR="008A4DDC">
        <w:rPr>
          <w:szCs w:val="28"/>
        </w:rPr>
        <w:t>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875</w:t>
      </w:r>
      <w:r w:rsidR="004156AB" w:rsidRPr="00A8412A">
        <w:rPr>
          <w:szCs w:val="28"/>
        </w:rPr>
        <w:t> </w:t>
      </w:r>
      <w:r w:rsidR="008A4DDC">
        <w:rPr>
          <w:szCs w:val="28"/>
        </w:rPr>
        <w:t>388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2A2C92" w:rsidRPr="00A8412A">
        <w:rPr>
          <w:szCs w:val="28"/>
        </w:rPr>
        <w:t xml:space="preserve"> год в сумме </w:t>
      </w:r>
      <w:r w:rsidR="008A4DDC">
        <w:rPr>
          <w:szCs w:val="28"/>
        </w:rPr>
        <w:t>11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701</w:t>
      </w:r>
      <w:r w:rsidR="004156AB" w:rsidRPr="00A8412A">
        <w:rPr>
          <w:szCs w:val="28"/>
        </w:rPr>
        <w:t> </w:t>
      </w:r>
      <w:r w:rsidR="008A4DDC">
        <w:rPr>
          <w:szCs w:val="28"/>
        </w:rPr>
        <w:t>796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размере </w:t>
      </w:r>
      <w:r w:rsidR="008A4DDC">
        <w:rPr>
          <w:szCs w:val="28"/>
        </w:rPr>
        <w:t>3</w:t>
      </w:r>
      <w:r w:rsidR="00735F44">
        <w:rPr>
          <w:szCs w:val="28"/>
        </w:rPr>
        <w:t>7</w:t>
      </w:r>
      <w:r w:rsidR="00D3569E" w:rsidRPr="00A8412A">
        <w:rPr>
          <w:szCs w:val="28"/>
        </w:rPr>
        <w:t> </w:t>
      </w:r>
      <w:r w:rsidR="00735F44">
        <w:rPr>
          <w:szCs w:val="28"/>
        </w:rPr>
        <w:t>5</w:t>
      </w:r>
      <w:r w:rsidR="008A4DDC">
        <w:rPr>
          <w:szCs w:val="28"/>
        </w:rPr>
        <w:t>60</w:t>
      </w:r>
      <w:r w:rsidR="00D3569E" w:rsidRPr="00A8412A">
        <w:rPr>
          <w:szCs w:val="28"/>
        </w:rPr>
        <w:t> </w:t>
      </w:r>
      <w:r w:rsidR="008A4DDC">
        <w:rPr>
          <w:szCs w:val="28"/>
        </w:rPr>
        <w:t>7</w:t>
      </w:r>
      <w:r w:rsidR="004156AB" w:rsidRPr="00A8412A">
        <w:rPr>
          <w:szCs w:val="28"/>
        </w:rPr>
        <w:t>00</w:t>
      </w:r>
      <w:r w:rsidR="00D3569E" w:rsidRPr="00A8412A">
        <w:rPr>
          <w:szCs w:val="28"/>
        </w:rPr>
        <w:t>,</w:t>
      </w:r>
      <w:r w:rsidR="004156AB" w:rsidRPr="00A8412A">
        <w:rPr>
          <w:szCs w:val="28"/>
        </w:rPr>
        <w:t>00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8A4DDC">
        <w:rPr>
          <w:szCs w:val="28"/>
        </w:rPr>
        <w:t>252</w:t>
      </w:r>
      <w:r w:rsidR="00D3569E" w:rsidRPr="00A8412A">
        <w:rPr>
          <w:szCs w:val="28"/>
        </w:rPr>
        <w:t> </w:t>
      </w:r>
      <w:r w:rsidR="008A4DDC">
        <w:rPr>
          <w:szCs w:val="28"/>
        </w:rPr>
        <w:t>9</w:t>
      </w:r>
      <w:r w:rsidR="004156AB" w:rsidRPr="00A8412A">
        <w:rPr>
          <w:szCs w:val="28"/>
        </w:rPr>
        <w:t>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8A4DDC">
        <w:rPr>
          <w:szCs w:val="28"/>
        </w:rPr>
        <w:t>4</w:t>
      </w:r>
      <w:r w:rsidR="00D3569E" w:rsidRPr="00A8412A">
        <w:rPr>
          <w:szCs w:val="28"/>
        </w:rPr>
        <w:t> </w:t>
      </w:r>
      <w:r w:rsidR="008A4DDC">
        <w:rPr>
          <w:szCs w:val="28"/>
        </w:rPr>
        <w:t>156</w:t>
      </w:r>
      <w:r w:rsidR="00D3569E" w:rsidRPr="00A8412A">
        <w:rPr>
          <w:szCs w:val="28"/>
        </w:rPr>
        <w:t> </w:t>
      </w:r>
      <w:r w:rsidR="008A4DDC">
        <w:rPr>
          <w:szCs w:val="28"/>
        </w:rPr>
        <w:t>0</w:t>
      </w:r>
      <w:r w:rsidR="004156AB" w:rsidRPr="00A8412A">
        <w:rPr>
          <w:szCs w:val="28"/>
        </w:rPr>
        <w:t>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6F2D10" w:rsidRPr="00A8412A">
        <w:rPr>
          <w:szCs w:val="28"/>
        </w:rPr>
        <w:t xml:space="preserve"> год и на плановый период 202</w:t>
      </w:r>
      <w:r w:rsidR="00347F8D">
        <w:rPr>
          <w:szCs w:val="28"/>
        </w:rPr>
        <w:t>6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</w:t>
      </w:r>
      <w:r w:rsidR="00347F8D">
        <w:rPr>
          <w:szCs w:val="28"/>
        </w:rPr>
        <w:t>7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2</w:t>
      </w:r>
      <w:r w:rsidR="00AF7947" w:rsidRPr="00272D4A">
        <w:rPr>
          <w:sz w:val="28"/>
          <w:szCs w:val="28"/>
        </w:rPr>
        <w:t>)</w:t>
      </w:r>
      <w:r w:rsidR="00BB18CC" w:rsidRPr="00272D4A">
        <w:rPr>
          <w:sz w:val="28"/>
          <w:szCs w:val="28"/>
        </w:rPr>
        <w:t> </w:t>
      </w:r>
      <w:r w:rsidR="001311E0" w:rsidRPr="00272D4A">
        <w:rPr>
          <w:sz w:val="28"/>
          <w:szCs w:val="28"/>
        </w:rPr>
        <w:t>перераспределение бюджетных ассигнований в целях реализации муниципальных проектов, направленных на достижение целей региональных проектов (национальных проектов)</w:t>
      </w:r>
      <w:r w:rsidR="00BB18CC" w:rsidRPr="00272D4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>социальное обеспечение населения 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1311E0" w:rsidRPr="00272D4A" w:rsidRDefault="001311E0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lastRenderedPageBreak/>
        <w:t xml:space="preserve">7) перераспределение в соответствии с нормативными актами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 бюджетных ассигнований между кодами классификации расходов районного бюджета в целях реализации новых инвестиционных проектов, определяемых в порядке, предусмотренном администрацией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области;</w:t>
      </w:r>
    </w:p>
    <w:p w:rsidR="00DB7A1B" w:rsidRDefault="00DB7A1B" w:rsidP="008A4DD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Нормативные акты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области, должны содержать наименования мероприятий муниципальных программ </w:t>
      </w:r>
      <w:r w:rsidRPr="008A4DD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272D4A">
        <w:rPr>
          <w:sz w:val="28"/>
          <w:szCs w:val="28"/>
        </w:rPr>
        <w:t>Омской области (непрограммных направлений деятельности), исполнителями которых определены соответствующие главные распорядители средств районного бюджета, и по которым перераспределяются бюджетные ассигнования по расходам районного бюджета, с указанием кодов классификации расходов районного бюджета.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7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272D4A">
        <w:rPr>
          <w:sz w:val="28"/>
          <w:szCs w:val="28"/>
        </w:rPr>
        <w:br/>
      </w:r>
      <w:r w:rsidR="00C60246" w:rsidRPr="00272D4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272D4A">
        <w:rPr>
          <w:sz w:val="28"/>
          <w:szCs w:val="28"/>
        </w:rPr>
        <w:t>муниципальных</w:t>
      </w:r>
      <w:r w:rsidR="00C60246" w:rsidRPr="00272D4A">
        <w:rPr>
          <w:sz w:val="28"/>
          <w:szCs w:val="28"/>
        </w:rPr>
        <w:t xml:space="preserve"> нужд, сложившейся в 20</w:t>
      </w:r>
      <w:r w:rsidR="006836D5" w:rsidRPr="00272D4A">
        <w:rPr>
          <w:sz w:val="28"/>
          <w:szCs w:val="28"/>
        </w:rPr>
        <w:t>2</w:t>
      </w:r>
      <w:r w:rsidR="00347F8D" w:rsidRPr="00272D4A">
        <w:rPr>
          <w:sz w:val="28"/>
          <w:szCs w:val="28"/>
        </w:rPr>
        <w:t>5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347F8D">
        <w:rPr>
          <w:sz w:val="28"/>
          <w:szCs w:val="28"/>
        </w:rPr>
        <w:t>5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272D4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9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272D4A">
        <w:rPr>
          <w:sz w:val="28"/>
          <w:szCs w:val="28"/>
        </w:rPr>
        <w:t xml:space="preserve">районного бюджета </w:t>
      </w:r>
      <w:r w:rsidR="00C60246" w:rsidRPr="00272D4A">
        <w:rPr>
          <w:sz w:val="28"/>
          <w:szCs w:val="28"/>
        </w:rPr>
        <w:t xml:space="preserve">бюджетам </w:t>
      </w:r>
      <w:r w:rsidR="003B0C1E" w:rsidRPr="00272D4A">
        <w:rPr>
          <w:sz w:val="28"/>
          <w:szCs w:val="28"/>
        </w:rPr>
        <w:t>сельских поселений</w:t>
      </w:r>
      <w:r w:rsidR="00C60246" w:rsidRPr="00272D4A">
        <w:rPr>
          <w:sz w:val="28"/>
          <w:szCs w:val="28"/>
        </w:rPr>
        <w:t xml:space="preserve">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272D4A">
        <w:rPr>
          <w:sz w:val="28"/>
          <w:szCs w:val="28"/>
        </w:rPr>
        <w:t>нормативно-</w:t>
      </w:r>
      <w:r w:rsidR="00C60246" w:rsidRPr="00272D4A">
        <w:rPr>
          <w:sz w:val="28"/>
          <w:szCs w:val="28"/>
        </w:rPr>
        <w:t xml:space="preserve">правовыми актами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10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перераспределение бюджетных</w:t>
      </w:r>
      <w:r w:rsidR="00C60246" w:rsidRPr="00A8412A">
        <w:rPr>
          <w:sz w:val="28"/>
          <w:szCs w:val="28"/>
        </w:rPr>
        <w:t xml:space="preserve">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lastRenderedPageBreak/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</w:t>
      </w:r>
      <w:r w:rsidR="003F4E26" w:rsidRPr="00272D4A">
        <w:rPr>
          <w:sz w:val="28"/>
          <w:szCs w:val="28"/>
        </w:rPr>
        <w:t>5</w:t>
      </w:r>
      <w:r w:rsidRPr="00272D4A">
        <w:rPr>
          <w:sz w:val="28"/>
          <w:szCs w:val="28"/>
        </w:rPr>
        <w:t>)</w:t>
      </w:r>
      <w:r w:rsidR="000E4B28" w:rsidRPr="00272D4A">
        <w:rPr>
          <w:sz w:val="28"/>
          <w:szCs w:val="28"/>
        </w:rPr>
        <w:t xml:space="preserve"> перераспределение бюджетных ассигнований </w:t>
      </w:r>
      <w:r w:rsidR="00C60246" w:rsidRPr="00272D4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</w:t>
      </w:r>
      <w:r w:rsidR="009111E5" w:rsidRPr="00A8412A">
        <w:rPr>
          <w:sz w:val="28"/>
          <w:szCs w:val="28"/>
        </w:rPr>
        <w:lastRenderedPageBreak/>
        <w:t xml:space="preserve">предпринимателям, а также физическим лицам – производителям товаров, работ, услуг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5</w:t>
      </w:r>
      <w:r w:rsidR="00C60246" w:rsidRPr="00A8412A">
        <w:rPr>
          <w:szCs w:val="28"/>
        </w:rPr>
        <w:t xml:space="preserve"> год в размере </w:t>
      </w:r>
      <w:r w:rsidR="00735F44">
        <w:rPr>
          <w:szCs w:val="28"/>
        </w:rPr>
        <w:t>3</w:t>
      </w:r>
      <w:r w:rsidR="009111E5" w:rsidRPr="00A8412A">
        <w:rPr>
          <w:szCs w:val="28"/>
        </w:rPr>
        <w:t xml:space="preserve">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347F8D">
        <w:rPr>
          <w:szCs w:val="28"/>
        </w:rPr>
        <w:t>6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347F8D">
        <w:rPr>
          <w:szCs w:val="28"/>
        </w:rPr>
        <w:t>7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347F8D">
        <w:rPr>
          <w:szCs w:val="28"/>
        </w:rPr>
        <w:t>5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6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347F8D">
        <w:rPr>
          <w:szCs w:val="28"/>
        </w:rPr>
        <w:t>7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t>увеличения объема муниципальных услуг</w:t>
      </w:r>
      <w:r w:rsidR="00EC6323">
        <w:rPr>
          <w:szCs w:val="28"/>
        </w:rPr>
        <w:t xml:space="preserve"> </w:t>
      </w:r>
      <w:r w:rsidR="00EC6323" w:rsidRPr="00CF0B91">
        <w:rPr>
          <w:szCs w:val="28"/>
        </w:rPr>
        <w:t>(работ)</w:t>
      </w:r>
      <w:r w:rsidR="00C41B26" w:rsidRPr="00A8412A">
        <w:rPr>
          <w:szCs w:val="28"/>
        </w:rPr>
        <w:t xml:space="preserve">, оказываемых </w:t>
      </w:r>
      <w:r w:rsidR="00EC6323" w:rsidRPr="00CF0B91">
        <w:rPr>
          <w:szCs w:val="28"/>
        </w:rPr>
        <w:t xml:space="preserve">(выполняемых) </w:t>
      </w:r>
      <w:r w:rsidR="00C41B26" w:rsidRPr="00A8412A">
        <w:rPr>
          <w:szCs w:val="28"/>
        </w:rPr>
        <w:t>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lastRenderedPageBreak/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0E4EB2" w:rsidRPr="00A8412A" w:rsidRDefault="000E4EB2" w:rsidP="000E05AD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347F8D">
        <w:rPr>
          <w:szCs w:val="28"/>
        </w:rPr>
        <w:t>на 2025 год и на плановый период 2026 и 2027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735F44">
        <w:rPr>
          <w:szCs w:val="28"/>
        </w:rPr>
        <w:t>650</w:t>
      </w:r>
      <w:r w:rsidR="009111E5" w:rsidRPr="00A8412A">
        <w:t> </w:t>
      </w:r>
      <w:r w:rsidR="00735F44">
        <w:t>010</w:t>
      </w:r>
      <w:r w:rsidR="009111E5" w:rsidRPr="00A8412A">
        <w:t> </w:t>
      </w:r>
      <w:r w:rsidR="00735F44">
        <w:t>634</w:t>
      </w:r>
      <w:r w:rsidR="009111E5" w:rsidRPr="00A8412A">
        <w:t>,</w:t>
      </w:r>
      <w:r w:rsidR="00735F44">
        <w:t>62</w:t>
      </w:r>
      <w:r w:rsidR="009111E5" w:rsidRPr="00A8412A">
        <w:t>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60</w:t>
      </w:r>
      <w:r w:rsidR="00735F44">
        <w:rPr>
          <w:szCs w:val="28"/>
        </w:rPr>
        <w:t>7</w:t>
      </w:r>
      <w:r w:rsidR="009111E5" w:rsidRPr="00A8412A">
        <w:t> </w:t>
      </w:r>
      <w:r w:rsidR="00735F44">
        <w:t>273</w:t>
      </w:r>
      <w:r w:rsidR="009111E5" w:rsidRPr="00A8412A">
        <w:t> </w:t>
      </w:r>
      <w:r w:rsidR="00735F44">
        <w:t>856</w:t>
      </w:r>
      <w:r w:rsidR="009111E5" w:rsidRPr="00A8412A">
        <w:t>,</w:t>
      </w:r>
      <w:r w:rsidR="00735F44">
        <w:t>80</w:t>
      </w:r>
      <w:r w:rsidR="009111E5" w:rsidRPr="00A8412A">
        <w:t>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9111E5" w:rsidRPr="00A8412A">
        <w:t>5</w:t>
      </w:r>
      <w:r w:rsidR="00735F44">
        <w:t>66</w:t>
      </w:r>
      <w:r w:rsidR="009111E5" w:rsidRPr="00A8412A">
        <w:t> </w:t>
      </w:r>
      <w:r w:rsidR="00735F44">
        <w:t>973</w:t>
      </w:r>
      <w:r w:rsidR="009111E5" w:rsidRPr="00A8412A">
        <w:t> </w:t>
      </w:r>
      <w:r w:rsidR="00147A9E">
        <w:t>2</w:t>
      </w:r>
      <w:r w:rsidR="00735F44">
        <w:t>1</w:t>
      </w:r>
      <w:r w:rsidR="00147A9E">
        <w:t>9</w:t>
      </w:r>
      <w:r w:rsidR="009111E5" w:rsidRPr="00A8412A">
        <w:t>,</w:t>
      </w:r>
      <w:r w:rsidR="00735F44">
        <w:t>27</w:t>
      </w:r>
      <w:r w:rsidR="009111E5" w:rsidRPr="00A8412A">
        <w:t xml:space="preserve"> руб.</w:t>
      </w:r>
      <w:r w:rsidR="00403428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735F44">
        <w:rPr>
          <w:szCs w:val="28"/>
        </w:rPr>
        <w:t>58</w:t>
      </w:r>
      <w:r w:rsidR="008A3A0C" w:rsidRPr="00A8412A">
        <w:rPr>
          <w:szCs w:val="28"/>
        </w:rPr>
        <w:t> </w:t>
      </w:r>
      <w:r w:rsidR="00735F44">
        <w:rPr>
          <w:szCs w:val="28"/>
        </w:rPr>
        <w:t>413</w:t>
      </w:r>
      <w:r w:rsidR="008A3A0C" w:rsidRPr="00A8412A">
        <w:rPr>
          <w:szCs w:val="28"/>
        </w:rPr>
        <w:t> </w:t>
      </w:r>
      <w:r w:rsidR="00735F44">
        <w:rPr>
          <w:szCs w:val="28"/>
        </w:rPr>
        <w:t>308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347F8D">
        <w:rPr>
          <w:szCs w:val="28"/>
        </w:rPr>
        <w:t>25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232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046</w:t>
      </w:r>
      <w:r w:rsidR="000D0331" w:rsidRPr="00A8412A">
        <w:rPr>
          <w:szCs w:val="28"/>
        </w:rPr>
        <w:t>,00 руб., на 202</w:t>
      </w:r>
      <w:r w:rsidR="00347F8D">
        <w:rPr>
          <w:szCs w:val="28"/>
        </w:rPr>
        <w:t>6</w:t>
      </w:r>
      <w:r w:rsidR="000D0331" w:rsidRPr="00A8412A">
        <w:rPr>
          <w:szCs w:val="28"/>
        </w:rPr>
        <w:t xml:space="preserve"> год в су</w:t>
      </w:r>
      <w:r w:rsidR="00347F8D">
        <w:rPr>
          <w:szCs w:val="28"/>
        </w:rPr>
        <w:t>мме 3</w:t>
      </w:r>
      <w:r w:rsidR="00147A9E">
        <w:rPr>
          <w:szCs w:val="28"/>
        </w:rPr>
        <w:t>3</w:t>
      </w:r>
      <w:r w:rsidR="00347F8D">
        <w:rPr>
          <w:szCs w:val="28"/>
        </w:rPr>
        <w:t> </w:t>
      </w:r>
      <w:r w:rsidR="00147A9E">
        <w:rPr>
          <w:szCs w:val="28"/>
        </w:rPr>
        <w:t>785</w:t>
      </w:r>
      <w:r w:rsidR="00347F8D">
        <w:rPr>
          <w:szCs w:val="28"/>
        </w:rPr>
        <w:t> </w:t>
      </w:r>
      <w:r w:rsidR="00147A9E">
        <w:rPr>
          <w:szCs w:val="28"/>
        </w:rPr>
        <w:t>637</w:t>
      </w:r>
      <w:r w:rsidR="00347F8D">
        <w:rPr>
          <w:szCs w:val="28"/>
        </w:rPr>
        <w:t>,00 руб. и на 2027</w:t>
      </w:r>
      <w:r w:rsidR="00147A9E">
        <w:rPr>
          <w:szCs w:val="28"/>
        </w:rPr>
        <w:t xml:space="preserve"> год в сумме 33</w:t>
      </w:r>
      <w:r w:rsidR="000D0331" w:rsidRPr="00A8412A">
        <w:rPr>
          <w:szCs w:val="28"/>
        </w:rPr>
        <w:t> </w:t>
      </w:r>
      <w:r w:rsidR="00147A9E">
        <w:rPr>
          <w:szCs w:val="28"/>
        </w:rPr>
        <w:t>785</w:t>
      </w:r>
      <w:r w:rsidR="000D0331" w:rsidRPr="00A8412A">
        <w:rPr>
          <w:szCs w:val="28"/>
        </w:rPr>
        <w:t> </w:t>
      </w:r>
      <w:r w:rsidR="00147A9E">
        <w:rPr>
          <w:szCs w:val="28"/>
        </w:rPr>
        <w:t>637</w:t>
      </w:r>
      <w:r w:rsidR="000D0331" w:rsidRPr="00A8412A">
        <w:rPr>
          <w:szCs w:val="28"/>
        </w:rPr>
        <w:t>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347F8D">
        <w:rPr>
          <w:szCs w:val="28"/>
        </w:rPr>
        <w:t>на 2025 год и на плановый период 2026 и 2027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3. Утвердить объем иных межбюджетных трансфертов бюджетам поселений на 2025 год в сумме 16 181 262,00 руб., на 2026 год в сумме 0,00 руб. и на 2027 год в сумме 0,00 руб.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Установить, что иные межбюджетные трансферты предоставляются: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 xml:space="preserve">1) </w:t>
      </w:r>
      <w:r w:rsidRPr="00735F44">
        <w:rPr>
          <w:bCs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обслуживание и содержание муниципального имущества;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lastRenderedPageBreak/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организацию благоустройства территории поселения</w:t>
      </w:r>
      <w:r w:rsidRPr="00735F44">
        <w:rPr>
          <w:bCs/>
          <w:szCs w:val="28"/>
        </w:rPr>
        <w:t>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bCs/>
          <w:szCs w:val="28"/>
        </w:rPr>
        <w:t>-</w:t>
      </w:r>
      <w:r w:rsidRPr="00735F44">
        <w:rPr>
          <w:szCs w:val="28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- </w:t>
      </w:r>
      <w:r w:rsidRPr="00735F44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4. Утвердить случаи и методику распределения иных межбюджетных трансфертов бюджетам поселений на 2025 год и на плановый период 2026 и 2027 годов согласно </w:t>
      </w:r>
      <w:r w:rsidRPr="00735F44">
        <w:rPr>
          <w:b/>
          <w:szCs w:val="28"/>
        </w:rPr>
        <w:t>приложению № 11</w:t>
      </w:r>
      <w:r w:rsidRPr="00735F44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5. Утвердить распределение иных межбюджетных трансфертов бюджетам поселений на 2025 год согласно </w:t>
      </w:r>
      <w:r w:rsidRPr="00735F44">
        <w:rPr>
          <w:b/>
          <w:szCs w:val="28"/>
        </w:rPr>
        <w:t>приложению № 12</w:t>
      </w:r>
      <w:r w:rsidRPr="00735F44">
        <w:rPr>
          <w:szCs w:val="28"/>
        </w:rPr>
        <w:t xml:space="preserve"> к настоящему Решению.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Установить, что </w:t>
      </w:r>
      <w:r w:rsidR="00347F8D">
        <w:rPr>
          <w:szCs w:val="28"/>
        </w:rPr>
        <w:t>на 2025 год и на плановый период 2026 и 2027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347F8D">
        <w:rPr>
          <w:szCs w:val="28"/>
        </w:rPr>
        <w:t>6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347F8D">
        <w:rPr>
          <w:szCs w:val="28"/>
        </w:rPr>
        <w:t>8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347F8D">
        <w:rPr>
          <w:szCs w:val="28"/>
        </w:rPr>
        <w:t>6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  <w:bookmarkStart w:id="0" w:name="_GoBack"/>
      <w:bookmarkEnd w:id="0"/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347F8D">
        <w:rPr>
          <w:szCs w:val="28"/>
        </w:rPr>
        <w:t>6</w:t>
      </w:r>
      <w:r w:rsidR="004B4133" w:rsidRPr="00A8412A">
        <w:rPr>
          <w:szCs w:val="28"/>
        </w:rPr>
        <w:t xml:space="preserve"> и 202</w:t>
      </w:r>
      <w:r w:rsidR="00347F8D">
        <w:rPr>
          <w:szCs w:val="28"/>
        </w:rPr>
        <w:t>7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347F8D">
        <w:rPr>
          <w:szCs w:val="28"/>
        </w:rPr>
        <w:t>5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</w:t>
      </w:r>
      <w:r w:rsidR="0092302D" w:rsidRPr="00681CBA">
        <w:rPr>
          <w:szCs w:val="28"/>
        </w:rPr>
        <w:t>. </w:t>
      </w:r>
      <w:r w:rsidR="0092302D" w:rsidRPr="00674AB4">
        <w:rPr>
          <w:b w:val="0"/>
          <w:szCs w:val="28"/>
        </w:rPr>
        <w:t>Средства, подлежащие казначейскому сопровождению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92302D">
        <w:rPr>
          <w:szCs w:val="28"/>
        </w:rPr>
        <w:t>5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4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9B4823">
        <w:rPr>
          <w:sz w:val="28"/>
          <w:szCs w:val="28"/>
          <w:lang w:eastAsia="en-US"/>
        </w:rPr>
        <w:t>5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674AB4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FontStyle14"/>
          <w:sz w:val="28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</w:t>
      </w:r>
      <w:r w:rsidRPr="00A8412A">
        <w:rPr>
          <w:rStyle w:val="FontStyle14"/>
          <w:sz w:val="28"/>
        </w:rPr>
        <w:lastRenderedPageBreak/>
        <w:t xml:space="preserve">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</w:t>
      </w:r>
      <w:r w:rsidRPr="00674AB4">
        <w:rPr>
          <w:rStyle w:val="FontStyle14"/>
          <w:sz w:val="28"/>
        </w:rPr>
        <w:t>сумму остатка неиспользованных бюджетных ассигнований на указанные цели.</w:t>
      </w:r>
    </w:p>
    <w:p w:rsidR="00674AB4" w:rsidRPr="00674AB4" w:rsidRDefault="00674AB4" w:rsidP="00674AB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674AB4">
        <w:rPr>
          <w:sz w:val="28"/>
          <w:szCs w:val="28"/>
        </w:rPr>
        <w:t>4) в</w:t>
      </w:r>
      <w:r w:rsidRPr="00674AB4">
        <w:rPr>
          <w:sz w:val="28"/>
          <w:szCs w:val="26"/>
        </w:rPr>
        <w:t xml:space="preserve">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</w:t>
      </w:r>
      <w:r>
        <w:rPr>
          <w:sz w:val="28"/>
          <w:szCs w:val="26"/>
        </w:rPr>
        <w:t xml:space="preserve"> </w:t>
      </w:r>
      <w:r w:rsidRPr="00674AB4">
        <w:rPr>
          <w:sz w:val="28"/>
          <w:szCs w:val="26"/>
        </w:rPr>
        <w:t xml:space="preserve">и суммой увеличения бюджетных ассигнований, предусмотренных </w:t>
      </w:r>
      <w:hyperlink r:id="rId13" w:history="1">
        <w:r>
          <w:rPr>
            <w:sz w:val="28"/>
            <w:szCs w:val="26"/>
          </w:rPr>
          <w:t>подпунктами</w:t>
        </w:r>
      </w:hyperlink>
      <w:r>
        <w:rPr>
          <w:sz w:val="28"/>
          <w:szCs w:val="26"/>
        </w:rPr>
        <w:t xml:space="preserve"> 1 - 3</w:t>
      </w:r>
      <w:r w:rsidRPr="00674AB4">
        <w:rPr>
          <w:sz w:val="28"/>
          <w:szCs w:val="26"/>
        </w:rPr>
        <w:t xml:space="preserve"> настоящей </w:t>
      </w:r>
      <w:r>
        <w:rPr>
          <w:sz w:val="28"/>
          <w:szCs w:val="26"/>
        </w:rPr>
        <w:t>статьи</w:t>
      </w:r>
      <w:r w:rsidRPr="00674AB4">
        <w:rPr>
          <w:sz w:val="28"/>
          <w:szCs w:val="26"/>
        </w:rPr>
        <w:t>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</w:t>
      </w:r>
      <w:r>
        <w:rPr>
          <w:sz w:val="28"/>
          <w:szCs w:val="26"/>
        </w:rPr>
        <w:t>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9B4823">
        <w:rPr>
          <w:sz w:val="28"/>
          <w:szCs w:val="28"/>
          <w:lang w:eastAsia="en-US"/>
        </w:rPr>
        <w:t>5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 xml:space="preserve">Установить, что в </w:t>
      </w:r>
      <w:r w:rsidR="009B4823" w:rsidRPr="00674AB4">
        <w:rPr>
          <w:rStyle w:val="FontStyle12"/>
          <w:spacing w:val="-2"/>
          <w:sz w:val="28"/>
          <w:szCs w:val="28"/>
        </w:rPr>
        <w:t xml:space="preserve">2025 – 2027 </w:t>
      </w:r>
      <w:r w:rsidRPr="00674AB4">
        <w:rPr>
          <w:rStyle w:val="FontStyle12"/>
          <w:spacing w:val="-2"/>
          <w:sz w:val="28"/>
          <w:szCs w:val="28"/>
        </w:rPr>
        <w:t xml:space="preserve">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</w:t>
      </w:r>
      <w:r w:rsidRPr="00674AB4">
        <w:rPr>
          <w:rStyle w:val="FontStyle12"/>
          <w:spacing w:val="-2"/>
          <w:sz w:val="28"/>
          <w:szCs w:val="28"/>
        </w:rPr>
        <w:lastRenderedPageBreak/>
        <w:t xml:space="preserve">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674AB4">
        <w:rPr>
          <w:rStyle w:val="FontStyle12"/>
          <w:spacing w:val="-2"/>
          <w:sz w:val="28"/>
          <w:szCs w:val="28"/>
        </w:rPr>
        <w:t>районного</w:t>
      </w:r>
      <w:r w:rsidRPr="00674AB4">
        <w:rPr>
          <w:rStyle w:val="FontStyle12"/>
          <w:spacing w:val="-2"/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674AB4">
        <w:rPr>
          <w:rStyle w:val="FontStyle12"/>
          <w:spacing w:val="-2"/>
          <w:sz w:val="28"/>
          <w:szCs w:val="28"/>
        </w:rPr>
        <w:t>районный</w:t>
      </w:r>
      <w:r w:rsidRPr="00674AB4">
        <w:rPr>
          <w:rStyle w:val="FontStyle12"/>
          <w:spacing w:val="-2"/>
          <w:sz w:val="28"/>
          <w:szCs w:val="28"/>
        </w:rPr>
        <w:t xml:space="preserve"> бюджет, полученные: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1) от платы за негативное воздействие на окружающую среду;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="004B5B85">
        <w:rPr>
          <w:b w:val="0"/>
          <w:szCs w:val="28"/>
        </w:rPr>
        <w:t>Обнародование настоящего р</w:t>
      </w:r>
      <w:r w:rsidRPr="00F82BC0">
        <w:rPr>
          <w:b w:val="0"/>
          <w:szCs w:val="28"/>
        </w:rPr>
        <w:t>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561E23" w:rsidRPr="00F82BC0">
        <w:rPr>
          <w:sz w:val="28"/>
          <w:szCs w:val="28"/>
        </w:rPr>
        <w:t xml:space="preserve">Настоящее Решение подлежит </w:t>
      </w:r>
      <w:r w:rsidR="004B5B85">
        <w:rPr>
          <w:sz w:val="28"/>
          <w:szCs w:val="28"/>
        </w:rPr>
        <w:t xml:space="preserve">официальному </w:t>
      </w:r>
      <w:r w:rsidR="001F2434" w:rsidRPr="00F82BC0">
        <w:rPr>
          <w:sz w:val="28"/>
          <w:szCs w:val="28"/>
        </w:rPr>
        <w:t>обнародованию</w:t>
      </w:r>
      <w:r w:rsidR="00561E23" w:rsidRPr="00F82BC0">
        <w:rPr>
          <w:sz w:val="28"/>
          <w:szCs w:val="28"/>
        </w:rPr>
        <w:t>.</w:t>
      </w: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</w:t>
            </w:r>
            <w:proofErr w:type="spellStart"/>
            <w:r w:rsidR="00536102" w:rsidRPr="00A8412A">
              <w:rPr>
                <w:sz w:val="28"/>
                <w:szCs w:val="28"/>
              </w:rPr>
              <w:t>Д</w:t>
            </w:r>
            <w:r w:rsidR="00CA4B81" w:rsidRPr="00A8412A">
              <w:rPr>
                <w:sz w:val="28"/>
                <w:szCs w:val="28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03905">
      <w:footerReference w:type="even" r:id="rId14"/>
      <w:footerReference w:type="default" r:id="rId15"/>
      <w:pgSz w:w="11907" w:h="16840" w:code="9"/>
      <w:pgMar w:top="993" w:right="113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EB2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37FB1"/>
    <w:multiLevelType w:val="hybridMultilevel"/>
    <w:tmpl w:val="FF423E16"/>
    <w:lvl w:ilvl="0" w:tplc="819CD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370985"/>
    <w:multiLevelType w:val="hybridMultilevel"/>
    <w:tmpl w:val="C9CE8B3E"/>
    <w:lvl w:ilvl="0" w:tplc="27126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9" w15:restartNumberingAfterBreak="0">
    <w:nsid w:val="2A180743"/>
    <w:multiLevelType w:val="hybridMultilevel"/>
    <w:tmpl w:val="81B21106"/>
    <w:lvl w:ilvl="0" w:tplc="2FBEF35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4" w15:restartNumberingAfterBreak="0">
    <w:nsid w:val="40553638"/>
    <w:multiLevelType w:val="hybridMultilevel"/>
    <w:tmpl w:val="858CF020"/>
    <w:lvl w:ilvl="0" w:tplc="26D4D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FE3855"/>
    <w:multiLevelType w:val="hybridMultilevel"/>
    <w:tmpl w:val="045E0BD0"/>
    <w:lvl w:ilvl="0" w:tplc="2780E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15A2923"/>
    <w:multiLevelType w:val="hybridMultilevel"/>
    <w:tmpl w:val="62745A6C"/>
    <w:lvl w:ilvl="0" w:tplc="AE50A31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C77EE"/>
    <w:multiLevelType w:val="hybridMultilevel"/>
    <w:tmpl w:val="7E341D38"/>
    <w:lvl w:ilvl="0" w:tplc="A88C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66D87"/>
    <w:multiLevelType w:val="hybridMultilevel"/>
    <w:tmpl w:val="33AA8FB2"/>
    <w:lvl w:ilvl="0" w:tplc="C6265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30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A46B37"/>
    <w:multiLevelType w:val="hybridMultilevel"/>
    <w:tmpl w:val="B34AB27A"/>
    <w:lvl w:ilvl="0" w:tplc="BFFEE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20"/>
  </w:num>
  <w:num w:numId="12">
    <w:abstractNumId w:val="1"/>
  </w:num>
  <w:num w:numId="13">
    <w:abstractNumId w:val="17"/>
  </w:num>
  <w:num w:numId="14">
    <w:abstractNumId w:val="15"/>
  </w:num>
  <w:num w:numId="15">
    <w:abstractNumId w:val="2"/>
  </w:num>
  <w:num w:numId="16">
    <w:abstractNumId w:val="6"/>
  </w:num>
  <w:num w:numId="17">
    <w:abstractNumId w:val="28"/>
  </w:num>
  <w:num w:numId="18">
    <w:abstractNumId w:val="25"/>
  </w:num>
  <w:num w:numId="19">
    <w:abstractNumId w:val="29"/>
  </w:num>
  <w:num w:numId="20">
    <w:abstractNumId w:val="11"/>
  </w:num>
  <w:num w:numId="21">
    <w:abstractNumId w:val="30"/>
  </w:num>
  <w:num w:numId="22">
    <w:abstractNumId w:val="16"/>
  </w:num>
  <w:num w:numId="23">
    <w:abstractNumId w:val="23"/>
  </w:num>
  <w:num w:numId="24">
    <w:abstractNumId w:val="5"/>
  </w:num>
  <w:num w:numId="25">
    <w:abstractNumId w:val="12"/>
  </w:num>
  <w:num w:numId="26">
    <w:abstractNumId w:val="3"/>
  </w:num>
  <w:num w:numId="27">
    <w:abstractNumId w:val="24"/>
  </w:num>
  <w:num w:numId="28">
    <w:abstractNumId w:val="18"/>
  </w:num>
  <w:num w:numId="29">
    <w:abstractNumId w:val="26"/>
  </w:num>
  <w:num w:numId="30">
    <w:abstractNumId w:val="4"/>
  </w:num>
  <w:num w:numId="31">
    <w:abstractNumId w:val="22"/>
  </w:num>
  <w:num w:numId="32">
    <w:abstractNumId w:val="9"/>
  </w:num>
  <w:num w:numId="33">
    <w:abstractNumId w:val="14"/>
  </w:num>
  <w:num w:numId="34">
    <w:abstractNumId w:val="31"/>
  </w:num>
  <w:num w:numId="35">
    <w:abstractNumId w:val="21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03F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4EB2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11E0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47A9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5DD6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D4A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47F8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08D1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247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B5B85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6E05"/>
    <w:rsid w:val="006673AB"/>
    <w:rsid w:val="00670046"/>
    <w:rsid w:val="00670100"/>
    <w:rsid w:val="00670B87"/>
    <w:rsid w:val="00671C2F"/>
    <w:rsid w:val="00672FA7"/>
    <w:rsid w:val="00673D2B"/>
    <w:rsid w:val="00674260"/>
    <w:rsid w:val="00674AB4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35F44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3EC2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3905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4DDC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302D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4823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51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A6D83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B7A1B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323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9774&amp;dst=59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2AC5-1FBA-4372-82A1-3CE5E81A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3</cp:revision>
  <cp:lastPrinted>2024-10-21T10:30:00Z</cp:lastPrinted>
  <dcterms:created xsi:type="dcterms:W3CDTF">2025-03-02T07:57:00Z</dcterms:created>
  <dcterms:modified xsi:type="dcterms:W3CDTF">2025-03-02T08:03:00Z</dcterms:modified>
</cp:coreProperties>
</file>