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media/image3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13" w:type="dxa"/>
        <w:jc w:val="left"/>
        <w:tblInd w:w="1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58"/>
        <w:gridCol w:w="854"/>
        <w:gridCol w:w="4501"/>
      </w:tblGrid>
      <w:tr>
        <w:trPr/>
        <w:tc>
          <w:tcPr>
            <w:tcW w:w="4358" w:type="dxa"/>
            <w:tcBorders/>
            <w:shd w:color="auto" w:fill="auto" w:val="clear"/>
            <w:vAlign w:val="center"/>
          </w:tcPr>
          <w:p>
            <w:pPr>
              <w:pStyle w:val="Heading2"/>
              <w:numPr>
                <w:ilvl w:val="1"/>
                <w:numId w:val="2"/>
              </w:numPr>
              <w:jc w:val="right"/>
              <w:rPr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/>
              <w:drawing>
                <wp:inline distT="0" distB="0" distL="0" distR="0">
                  <wp:extent cx="990600" cy="238125"/>
                  <wp:effectExtent l="0" t="0" r="0" b="0"/>
                  <wp:docPr id="1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182" t="-760" r="-182" b="-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" w:type="dxa"/>
            <w:tcBorders/>
            <w:shd w:color="auto" w:fill="auto" w:val="clear"/>
          </w:tcPr>
          <w:p>
            <w:pPr>
              <w:pStyle w:val="Normal"/>
              <w:suppressAutoHyphens w:val="false"/>
              <w:snapToGrid w:val="false"/>
              <w:rPr/>
            </w:pPr>
            <w:r>
              <w:rPr/>
              <w:drawing>
                <wp:inline distT="0" distB="0" distL="0" distR="0">
                  <wp:extent cx="428625" cy="428625"/>
                  <wp:effectExtent l="0" t="0" r="0" b="0"/>
                  <wp:docPr id="2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90" t="-579" r="-590" b="-5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rPr>
                <w:rFonts w:ascii="a_Timer" w:hAnsi="a_Timer" w:cs="a_Timer"/>
                <w:lang w:val="en-US" w:eastAsia="ru-RU"/>
              </w:rPr>
            </w:pPr>
            <w:r>
              <w:rPr/>
              <w:drawing>
                <wp:inline distT="0" distB="0" distL="0" distR="0">
                  <wp:extent cx="1152525" cy="238125"/>
                  <wp:effectExtent l="0" t="0" r="0" b="0"/>
                  <wp:docPr id="3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157" t="-760" r="-157" b="-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suppressAutoHyphens w:val="false"/>
        <w:jc w:val="center"/>
        <w:rPr>
          <w:rFonts w:ascii="a_Timer" w:hAnsi="a_Timer" w:cs="a_Timer"/>
          <w:lang w:val="en-US" w:eastAsia="ru-RU"/>
        </w:rPr>
      </w:pPr>
      <w:r>
        <w:rPr>
          <w:rFonts w:cs="a_Timer" w:ascii="a_Timer" w:hAnsi="a_Timer"/>
          <w:lang w:val="en-US" w:eastAsia="ru-RU"/>
        </w:rPr>
      </w:r>
    </w:p>
    <w:p>
      <w:pPr>
        <w:pStyle w:val="Normal"/>
        <w:suppressAutoHyphens w:val="false"/>
        <w:jc w:val="center"/>
        <w:rPr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>
      <w:pPr>
        <w:pStyle w:val="Normal"/>
        <w:suppressAutoHyphens w:val="false"/>
        <w:jc w:val="center"/>
        <w:rPr/>
      </w:pPr>
      <w:r>
        <w:rPr>
          <w:b/>
          <w:lang w:eastAsia="ru-RU"/>
        </w:rPr>
        <w:t>Омской области</w:t>
      </w:r>
    </w:p>
    <w:p>
      <w:pPr>
        <w:pStyle w:val="Normal"/>
        <w:jc w:val="center"/>
        <w:rPr>
          <w:rFonts w:ascii="a_Timer" w:hAnsi="a_Timer" w:cs="a_Timer"/>
          <w:lang w:eastAsia="ru-RU"/>
        </w:rPr>
      </w:pPr>
      <w:r>
        <w:rPr>
          <w:rFonts w:cs="a_Timer" w:ascii="a_Timer" w:hAnsi="a_Timer"/>
          <w:lang w:eastAsia="ru-RU"/>
        </w:rPr>
      </w:r>
    </w:p>
    <w:p>
      <w:pPr>
        <w:pStyle w:val="Normal"/>
        <w:tabs>
          <w:tab w:val="clear" w:pos="708"/>
          <w:tab w:val="center" w:pos="4677" w:leader="none"/>
        </w:tabs>
        <w:jc w:val="center"/>
        <w:rPr/>
      </w:pPr>
      <w:r>
        <w:rPr>
          <w:b/>
        </w:rPr>
        <w:t>РЕШЕНИЕ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sz w:val="26"/>
          <w:szCs w:val="26"/>
        </w:rPr>
        <w:t>21.02.2025</w:t>
        <w:tab/>
        <w:tab/>
        <w:tab/>
        <w:tab/>
        <w:tab/>
        <w:tab/>
        <w:tab/>
        <w:tab/>
        <w:t xml:space="preserve"> </w:t>
        <w:tab/>
        <w:tab/>
        <w:t xml:space="preserve">       № </w:t>
      </w:r>
      <w:r>
        <w:rPr>
          <w:sz w:val="26"/>
          <w:szCs w:val="26"/>
          <w:lang w:val="en-US"/>
        </w:rPr>
        <w:t>59</w:t>
      </w:r>
      <w:r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373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18.12.2024 № 57-359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2025 год и на плановый период 2026 и 2027 годов</w:t>
      </w:r>
      <w:r>
        <w:rPr>
          <w:sz w:val="26"/>
          <w:szCs w:val="26"/>
        </w:rPr>
        <w:t>»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РЕШИЛ: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 xml:space="preserve">Внести в решение Совета Азовского немецкого национального муниципального района Омской области от 18.12.2024 № 57-359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>» следующие изменения: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1. В статье 1: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1.1. в пункте 1: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подпункте 1 цифры «859 686 834,95» заменить цифрами «1 013 067 908,60»;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- в подпункте 2 цифры «859 686 834,95» заменить цифрами «1 070 017 485,94».</w:t>
      </w:r>
    </w:p>
    <w:p>
      <w:pPr>
        <w:pStyle w:val="Normal"/>
        <w:ind w:firstLine="709"/>
        <w:jc w:val="both"/>
        <w:rPr/>
      </w:pPr>
      <w:r>
        <w:rPr>
          <w:sz w:val="26"/>
          <w:szCs w:val="26"/>
        </w:rPr>
        <w:t>- подпункт 3 изложить в следующей редакции: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6"/>
          <w:szCs w:val="26"/>
        </w:rPr>
        <w:t xml:space="preserve">«3) Превышение расходов над доходами районного бюджета в 2025 году определить в размере 55 949 577,34 рублей, или 58,7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6"/>
          <w:szCs w:val="26"/>
        </w:rPr>
        <w:t xml:space="preserve">С учетом снижения остатков средств на счетах по учету средств районного бюджета дефицит районного бюджета составит 0,00 рублей». 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1.2. в пункте 2: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- в подпункте 1 цифры «783 639 011,71» заменить цифрами «874 937 982,71», цифры «780 285 199,79» заменить цифрами «834 135 871,79»;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- в подпункте 2 цифры «783 639 011,71» заменить цифрами «874 937 982,71», цифры «780 285 199,79» заменить цифрами «834 135 871,79».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 xml:space="preserve">2. В статье 3: 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- в пункте 1 цифры «11 701 796,00» заменить цифрами «11 628 396,00».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- в пункте 2 цифры «3 360 700,00» заменить цифрами «37 560 700,00».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В статье 4: 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- в пункте 1 цифры «10 000 000,00» заменить цифрами «3 000 000,00»;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4. В статье 7: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4.1 в пункте 1: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- в подпункте 1 цифры «496 664 412,97» заменить цифрами «650 010 634,62», цифры «460 288 756,73» заменить цифрами «607 273 856,80», цифры «459 034 294,81» заменить цифрами «566 973 219,27»;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- в подпункте 2 цифры «42 232 046,00» заменить цифрами «58 413 308,00»;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4.2 Дополнить статью 7 «Межбюджетные трансферты»:</w:t>
      </w:r>
    </w:p>
    <w:p>
      <w:pPr>
        <w:pStyle w:val="Style17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>а) пунктом 3 следующего содержания: «3. Утвердить объем иных межбюджетных трансфертов бюджетам поселений на 2025 год в сумме 16 181 262,00 руб., на 2026 год в сумме 0,00 руб. и на 2027 год в сумме 0,00 руб.</w:t>
      </w:r>
    </w:p>
    <w:p>
      <w:pPr>
        <w:pStyle w:val="Style17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>Установить, что иные межбюджетные трансферты предоставляются:</w:t>
      </w:r>
    </w:p>
    <w:p>
      <w:pPr>
        <w:pStyle w:val="Style17"/>
        <w:spacing w:lineRule="auto" w:line="276"/>
        <w:rPr>
          <w:bCs/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bCs/>
          <w:sz w:val="26"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>
      <w:pPr>
        <w:pStyle w:val="Style17"/>
        <w:spacing w:lineRule="auto" w:line="276"/>
        <w:rPr>
          <w:bCs/>
          <w:sz w:val="26"/>
          <w:szCs w:val="26"/>
        </w:rPr>
      </w:pPr>
      <w:r>
        <w:rPr>
          <w:sz w:val="26"/>
          <w:szCs w:val="26"/>
        </w:rPr>
        <w:t>- обслуживание и содержание муниципального имущества;</w:t>
      </w:r>
    </w:p>
    <w:p>
      <w:pPr>
        <w:pStyle w:val="Style17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>
      <w:pPr>
        <w:pStyle w:val="Style17"/>
        <w:spacing w:lineRule="auto" w:line="276"/>
        <w:rPr>
          <w:bCs/>
          <w:sz w:val="26"/>
          <w:szCs w:val="26"/>
        </w:rPr>
      </w:pPr>
      <w:r>
        <w:rPr>
          <w:sz w:val="26"/>
          <w:szCs w:val="26"/>
        </w:rPr>
        <w:t>- организацию благоустройства территории поселения</w:t>
      </w:r>
      <w:r>
        <w:rPr>
          <w:bCs/>
          <w:sz w:val="26"/>
          <w:szCs w:val="26"/>
        </w:rPr>
        <w:t>;</w:t>
      </w:r>
    </w:p>
    <w:p>
      <w:pPr>
        <w:pStyle w:val="Style17"/>
        <w:spacing w:lineRule="auto" w:line="276"/>
        <w:rPr>
          <w:sz w:val="26"/>
          <w:szCs w:val="26"/>
        </w:rPr>
      </w:pPr>
      <w:r>
        <w:rPr>
          <w:bCs/>
          <w:sz w:val="26"/>
          <w:szCs w:val="26"/>
        </w:rPr>
        <w:t>-</w:t>
      </w:r>
      <w:r>
        <w:rPr>
          <w:sz w:val="26"/>
          <w:szCs w:val="26"/>
        </w:rPr>
        <w:t xml:space="preserve"> создание условий для организации досуга и обеспечения жителей поселения услугами организаций культуры.»</w:t>
      </w:r>
    </w:p>
    <w:p>
      <w:pPr>
        <w:pStyle w:val="Style17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>
      <w:pPr>
        <w:pStyle w:val="Style17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sz w:val="26"/>
          <w:szCs w:val="26"/>
        </w:rPr>
        <w:t>.</w:t>
      </w:r>
    </w:p>
    <w:p>
      <w:pPr>
        <w:pStyle w:val="Style17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 xml:space="preserve">б) пунктом 4 следующего содержания: «4. Утвердить случаи и методику распределения иных межбюджетных трансфертов бюджетам поселений на 2025 год и на плановый период 2026 и 2027 годов согласно </w:t>
      </w:r>
      <w:r>
        <w:rPr>
          <w:b/>
          <w:sz w:val="26"/>
          <w:szCs w:val="26"/>
        </w:rPr>
        <w:t>приложению № 11</w:t>
      </w:r>
      <w:r>
        <w:rPr>
          <w:sz w:val="26"/>
          <w:szCs w:val="26"/>
        </w:rPr>
        <w:t xml:space="preserve"> к настоящему решению.</w:t>
      </w:r>
    </w:p>
    <w:p>
      <w:pPr>
        <w:pStyle w:val="Normal"/>
        <w:spacing w:lineRule="auto" w:line="276"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области.»</w:t>
      </w:r>
    </w:p>
    <w:p>
      <w:pPr>
        <w:pStyle w:val="Style17"/>
        <w:spacing w:lineRule="auto" w:line="276"/>
        <w:rPr>
          <w:sz w:val="26"/>
          <w:szCs w:val="26"/>
        </w:rPr>
      </w:pPr>
      <w:r>
        <w:rPr>
          <w:sz w:val="26"/>
          <w:szCs w:val="26"/>
        </w:rPr>
        <w:t xml:space="preserve">в) пунктом 5 следующего содержания: «5. Утвердить распределение иных межбюджетных трансфертов бюджетам поселений на 2025 год согласно </w:t>
      </w:r>
      <w:r>
        <w:rPr>
          <w:b/>
          <w:sz w:val="26"/>
          <w:szCs w:val="26"/>
        </w:rPr>
        <w:t>приложению № 12</w:t>
      </w:r>
      <w:r>
        <w:rPr>
          <w:sz w:val="26"/>
          <w:szCs w:val="26"/>
        </w:rPr>
        <w:t xml:space="preserve"> к настоящему Решению.»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5. Приложение № 1 «Прогноз поступлений налоговых и неналоговых доходов в районный бюджет</w:t>
      </w:r>
      <w:r>
        <w:rPr>
          <w:sz w:val="26"/>
          <w:szCs w:val="26"/>
          <w:lang w:eastAsia="ru-RU"/>
        </w:rPr>
        <w:t xml:space="preserve"> на 2025 год и на плановый период 2026 и 2027 годов</w:t>
      </w:r>
      <w:r>
        <w:rPr>
          <w:sz w:val="26"/>
          <w:szCs w:val="26"/>
        </w:rPr>
        <w:t>» изложить в редакции согласно приложению № 1 к настоящему Решению.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 xml:space="preserve">6. Приложение № 2 «Безвозмездные поступления в районный бюджет </w:t>
      </w:r>
      <w:r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>» изложить в редакции согласно приложению № 2 к настоящему Решению.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 xml:space="preserve">7. Приложение № 3 «Распределение бюджетных ассигнований районного бюджета по разделам и подразделам классификации расходов бюджетов </w:t>
      </w:r>
      <w:r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>» изложить в редакции согласно приложению № 3 к настоящему Решению.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8. Приложение № 4 «</w:t>
      </w:r>
      <w:r>
        <w:rPr>
          <w:sz w:val="26"/>
          <w:szCs w:val="26"/>
          <w:lang w:eastAsia="ru-RU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>» изложить в редакции согласно приложению № 4 к настоящему Решению.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 xml:space="preserve">9.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 xml:space="preserve">» изложить в редакции согласно приложению № 5 к настоящему Решению. 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приложение № 8 «Адресная инвестиционная программа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>» изложить в редакции согласно приложению № 7 к настоящему Решению;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приложение № 10 «Источники финансирования дефицита районного бюджета </w:t>
      </w:r>
      <w:r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>» изложить в редакции согласно приложению № 8 к настоящему Решению;</w:t>
      </w:r>
    </w:p>
    <w:p>
      <w:pPr>
        <w:pStyle w:val="Style17"/>
        <w:spacing w:lineRule="auto" w:line="240"/>
        <w:rPr>
          <w:sz w:val="26"/>
          <w:szCs w:val="26"/>
        </w:rPr>
      </w:pPr>
      <w:r>
        <w:rPr>
          <w:sz w:val="26"/>
          <w:szCs w:val="26"/>
        </w:rPr>
        <w:t xml:space="preserve">12. приложение № 11 «Случаи и методика распределения иных межбюджетных трансфертов бюджетам поселений </w:t>
      </w:r>
      <w:r>
        <w:rPr>
          <w:sz w:val="26"/>
          <w:szCs w:val="26"/>
          <w:lang w:eastAsia="ru-RU"/>
        </w:rPr>
        <w:t>на 2025 год и на плановый период 2026 и 2027 годов</w:t>
      </w:r>
      <w:r>
        <w:rPr>
          <w:sz w:val="26"/>
          <w:szCs w:val="26"/>
        </w:rPr>
        <w:t>» изложить в редакции согласно приложению № 9 к настоящему Решению;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13. Приложение № 12 «Распределение иных межбюджетных трансфертов бюджетам поселений на 2025</w:t>
      </w:r>
      <w:bookmarkStart w:id="0" w:name="_GoBack"/>
      <w:bookmarkEnd w:id="0"/>
      <w:r>
        <w:rPr>
          <w:sz w:val="26"/>
          <w:szCs w:val="26"/>
        </w:rPr>
        <w:t xml:space="preserve"> год» изложить в редакции согласно приложению № 10 к настоящему Решению.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884"/>
        <w:gridCol w:w="4112"/>
      </w:tblGrid>
      <w:tr>
        <w:trPr/>
        <w:tc>
          <w:tcPr>
            <w:tcW w:w="4360" w:type="dxa"/>
            <w:tcBorders/>
            <w:shd w:color="auto" w:fill="auto" w:val="clear"/>
          </w:tcPr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>
            <w:pPr>
              <w:pStyle w:val="Normal"/>
              <w:suppressAutoHyphens w:val="false"/>
              <w:jc w:val="both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____________Д.И. Дизер</w:t>
            </w:r>
          </w:p>
        </w:tc>
        <w:tc>
          <w:tcPr>
            <w:tcW w:w="884" w:type="dxa"/>
            <w:tcBorders/>
            <w:shd w:color="auto" w:fill="auto" w:val="clear"/>
          </w:tcPr>
          <w:p>
            <w:pPr>
              <w:pStyle w:val="Normal"/>
              <w:suppressAutoHyphens w:val="false"/>
              <w:snapToGrid w:val="false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4112" w:type="dxa"/>
            <w:tcBorders/>
            <w:shd w:color="auto" w:fill="auto" w:val="clear"/>
          </w:tcPr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5"/>
      <w:type w:val="nextPage"/>
      <w:pgSz w:w="11906" w:h="16838"/>
      <w:pgMar w:left="1701" w:right="850" w:gutter="0" w:header="0" w:top="1134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_Timer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f20b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Heading2">
    <w:name w:val="Heading 2"/>
    <w:basedOn w:val="Normal"/>
    <w:next w:val="Normal"/>
    <w:link w:val="2"/>
    <w:qFormat/>
    <w:rsid w:val="00c949cc"/>
    <w:pPr>
      <w:keepNext w:val="true"/>
      <w:numPr>
        <w:ilvl w:val="1"/>
        <w:numId w:val="2"/>
      </w:numPr>
      <w:suppressAutoHyphens w:val="false"/>
      <w:jc w:val="center"/>
      <w:outlineLvl w:val="1"/>
    </w:pPr>
    <w:rPr>
      <w:rFonts w:ascii="a_Timer" w:hAnsi="a_Timer" w:cs="Arial"/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c949cc"/>
    <w:rPr>
      <w:rFonts w:ascii="a_Timer" w:hAnsi="a_Timer" w:eastAsia="Times New Roman" w:cs="Arial"/>
      <w:b/>
      <w:sz w:val="32"/>
      <w:szCs w:val="24"/>
      <w:lang w:eastAsia="zh-CN"/>
    </w:rPr>
  </w:style>
  <w:style w:type="character" w:styleId="Style13" w:customStyle="1">
    <w:name w:val="Нижний колонтитул Знак"/>
    <w:basedOn w:val="DefaultParagraphFont"/>
    <w:qFormat/>
    <w:rsid w:val="00c949cc"/>
    <w:rPr>
      <w:rFonts w:ascii="Times New Roman" w:hAnsi="Times New Roman" w:eastAsia="Times New Roman" w:cs="Times New Roman"/>
      <w:sz w:val="24"/>
      <w:szCs w:val="24"/>
      <w:lang w:val="de-DE" w:eastAsia="zh-C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Style16">
    <w:name w:val="Колонтитул"/>
    <w:basedOn w:val="Normal"/>
    <w:qFormat/>
    <w:pPr/>
    <w:rPr/>
  </w:style>
  <w:style w:type="paragraph" w:styleId="Footer">
    <w:name w:val="Footer"/>
    <w:basedOn w:val="Normal"/>
    <w:link w:val="Style13"/>
    <w:rsid w:val="00c949cc"/>
    <w:pPr>
      <w:suppressAutoHyphens w:val="false"/>
    </w:pPr>
    <w:rPr>
      <w:lang w:val="de-DE"/>
    </w:rPr>
  </w:style>
  <w:style w:type="paragraph" w:styleId="Style17" w:customStyle="1">
    <w:name w:val="Абзац"/>
    <w:qFormat/>
    <w:rsid w:val="00c949cc"/>
    <w:pPr>
      <w:widowControl/>
      <w:suppressAutoHyphens w:val="true"/>
      <w:bidi w:val="0"/>
      <w:spacing w:lineRule="auto" w:line="360" w:before="0" w:after="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eastAsia="zh-CN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Application>LibreOffice/7.6.4.1$Windows_X86_64 LibreOffice_project/e19e193f88cd6c0525a17fb7a176ed8e6a3e2aa1</Application>
  <AppVersion>15.0000</AppVersion>
  <Pages>3</Pages>
  <Words>927</Words>
  <Characters>5607</Characters>
  <CharactersWithSpaces>6531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2025-02-14T03:21:00Z</dcterms:created>
  <dc:creator>Воробьева</dc:creator>
  <dc:description/>
  <dc:language>ru-RU</dc:language>
  <cp:lastModifiedBy/>
  <dcterms:modified xsi:type="dcterms:W3CDTF">2025-03-17T10:09:13Z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