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jc w:val="center"/>
      </w:pPr>
      <w:r>
        <w:rPr>
          <w:sz w:val="28"/>
          <w:u w:val="single"/>
          <w:b/>
          <w:szCs w:val="28"/>
          <w:rFonts w:ascii="Times New Roman" w:cs="Times New Roman" w:hAnsi="Times New Roman"/>
        </w:rPr>
        <w:t>ПОЯСНИТЕЛЬНАЯ ЗАПИСКА</w:t>
      </w:r>
    </w:p>
    <w:p>
      <w:pPr>
        <w:pStyle w:val="style0"/>
        <w:jc w:val="center"/>
      </w:pPr>
      <w:r>
        <w:rPr/>
      </w:r>
    </w:p>
    <w:p>
      <w:pPr>
        <w:pStyle w:val="style0"/>
        <w:jc w:val="center"/>
      </w:pPr>
      <w:r>
        <w:rPr>
          <w:sz w:val="28"/>
          <w:szCs w:val="28"/>
          <w:rFonts w:ascii="Times New Roman" w:cs="Times New Roman" w:hAnsi="Times New Roman"/>
        </w:rPr>
        <w:t>к схеме размещения рекламных конструкций</w:t>
      </w:r>
    </w:p>
    <w:p>
      <w:pPr>
        <w:pStyle w:val="style0"/>
        <w:jc w:val="center"/>
      </w:pPr>
      <w:r>
        <w:rPr>
          <w:sz w:val="28"/>
          <w:szCs w:val="28"/>
          <w:rFonts w:ascii="Times New Roman" w:cs="Times New Roman" w:hAnsi="Times New Roman"/>
        </w:rPr>
        <w:t>на территории с. Азово Азовского немецкого</w:t>
      </w:r>
    </w:p>
    <w:p>
      <w:pPr>
        <w:pStyle w:val="style0"/>
        <w:jc w:val="center"/>
      </w:pPr>
      <w:r>
        <w:rPr>
          <w:sz w:val="28"/>
          <w:szCs w:val="28"/>
          <w:rFonts w:ascii="Times New Roman" w:cs="Times New Roman" w:hAnsi="Times New Roman"/>
        </w:rPr>
        <w:t>национального района Омской области</w:t>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both"/>
        <w:ind w:firstLine="709" w:left="0" w:right="0"/>
      </w:pPr>
      <w:r>
        <w:rPr/>
      </w:r>
    </w:p>
    <w:p>
      <w:pPr>
        <w:pStyle w:val="style0"/>
        <w:jc w:val="both"/>
        <w:ind w:firstLine="709" w:left="0" w:right="0"/>
      </w:pPr>
      <w:r>
        <w:rPr>
          <w:sz w:val="24"/>
          <w:szCs w:val="24"/>
          <w:rFonts w:ascii="Times New Roman" w:cs="Times New Roman" w:hAnsi="Times New Roman"/>
        </w:rPr>
        <w:t>Схема размещения рекламных конструкций на территории с. Азово выполнена на основании постановления Правительства Омской области от 27 ноября 2013 года «Об утверждении Порядка предварительного согласования 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Омской области или муниципальной собственности, и вносимых в нее изменений» №311-п, в соответствии с:</w:t>
      </w:r>
    </w:p>
    <w:p>
      <w:pPr>
        <w:pStyle w:val="style21"/>
        <w:numPr>
          <w:ilvl w:val="0"/>
          <w:numId w:val="1"/>
        </w:numPr>
        <w:jc w:val="both"/>
      </w:pPr>
      <w:r>
        <w:rPr>
          <w:sz w:val="24"/>
          <w:szCs w:val="24"/>
          <w:rFonts w:ascii="Times New Roman" w:cs="Times New Roman" w:hAnsi="Times New Roman"/>
        </w:rPr>
        <w:t>Федеральным законом № 38-ФЗ от 13.03.2006 «О рекламе» и с учетом изменений, внесенных от 07.07.2013г.</w:t>
      </w:r>
    </w:p>
    <w:p>
      <w:pPr>
        <w:pStyle w:val="style21"/>
        <w:numPr>
          <w:ilvl w:val="0"/>
          <w:numId w:val="1"/>
        </w:numPr>
        <w:jc w:val="both"/>
      </w:pPr>
      <w:r>
        <w:rPr>
          <w:sz w:val="24"/>
          <w:szCs w:val="24"/>
          <w:rFonts w:ascii="Times New Roman" w:cs="Times New Roman" w:hAnsi="Times New Roman"/>
        </w:rPr>
        <w:t>Федеральным законом  № 184-ФЗ от 27.12.2002 «О техническом регулировании».</w:t>
      </w:r>
    </w:p>
    <w:p>
      <w:pPr>
        <w:pStyle w:val="style21"/>
        <w:numPr>
          <w:ilvl w:val="0"/>
          <w:numId w:val="1"/>
        </w:numPr>
        <w:jc w:val="both"/>
      </w:pPr>
      <w:r>
        <w:rPr>
          <w:sz w:val="24"/>
          <w:szCs w:val="24"/>
          <w:rFonts w:ascii="Times New Roman" w:cs="Times New Roman" w:hAnsi="Times New Roman"/>
        </w:rPr>
        <w:t>Постановлением Госстандарта России от 30.01.2004 №4.</w:t>
      </w:r>
    </w:p>
    <w:p>
      <w:pPr>
        <w:pStyle w:val="style21"/>
        <w:numPr>
          <w:ilvl w:val="0"/>
          <w:numId w:val="1"/>
        </w:numPr>
        <w:jc w:val="both"/>
      </w:pPr>
      <w:r>
        <w:rPr>
          <w:sz w:val="24"/>
          <w:szCs w:val="24"/>
          <w:rFonts w:ascii="Times New Roman" w:cs="Times New Roman" w:hAnsi="Times New Roman"/>
        </w:rPr>
        <w:t>ГОСТ Р52044-2003 «Наружная реклама на автомобильных дорогах и территориях города и сельских поселений».</w:t>
      </w:r>
    </w:p>
    <w:p>
      <w:pPr>
        <w:pStyle w:val="style0"/>
        <w:jc w:val="both"/>
      </w:pPr>
      <w:r>
        <w:rPr/>
      </w:r>
    </w:p>
    <w:p>
      <w:pPr>
        <w:pStyle w:val="style0"/>
        <w:jc w:val="both"/>
      </w:pPr>
      <w:r>
        <w:rPr>
          <w:sz w:val="24"/>
          <w:szCs w:val="24"/>
          <w:rFonts w:ascii="Times New Roman" w:cs="Times New Roman" w:hAnsi="Times New Roman"/>
        </w:rPr>
        <w:t>Схема размещения рекламных конструкций содержит:</w:t>
      </w:r>
    </w:p>
    <w:p>
      <w:pPr>
        <w:pStyle w:val="style21"/>
        <w:numPr>
          <w:ilvl w:val="0"/>
          <w:numId w:val="2"/>
        </w:numPr>
        <w:jc w:val="both"/>
      </w:pPr>
      <w:r>
        <w:rPr>
          <w:sz w:val="24"/>
          <w:szCs w:val="24"/>
          <w:rFonts w:ascii="Times New Roman" w:cs="Times New Roman" w:hAnsi="Times New Roman"/>
        </w:rPr>
        <w:t>Пояснительную записку.</w:t>
      </w:r>
    </w:p>
    <w:p>
      <w:pPr>
        <w:pStyle w:val="style21"/>
        <w:numPr>
          <w:ilvl w:val="0"/>
          <w:numId w:val="2"/>
        </w:numPr>
        <w:jc w:val="both"/>
      </w:pPr>
      <w:r>
        <w:rPr>
          <w:sz w:val="24"/>
          <w:szCs w:val="24"/>
          <w:rFonts w:ascii="Times New Roman" w:cs="Times New Roman" w:hAnsi="Times New Roman"/>
        </w:rPr>
        <w:t>Виды рекламных конструкций.</w:t>
      </w:r>
    </w:p>
    <w:p>
      <w:pPr>
        <w:pStyle w:val="style21"/>
        <w:numPr>
          <w:ilvl w:val="0"/>
          <w:numId w:val="2"/>
        </w:numPr>
        <w:jc w:val="both"/>
      </w:pPr>
      <w:r>
        <w:rPr>
          <w:sz w:val="24"/>
          <w:szCs w:val="24"/>
          <w:rFonts w:ascii="Times New Roman" w:cs="Times New Roman" w:hAnsi="Times New Roman"/>
        </w:rPr>
        <w:t>Схемы с указанием типов и видов рекламных конструкций, площади информационных полей и технических характеристик рекламных конструкций, остановок маршрутных транспортных средств, наземных пешеходных переходов, по отношению к рекламной конструкции.</w:t>
      </w:r>
    </w:p>
    <w:p>
      <w:pPr>
        <w:pStyle w:val="style21"/>
        <w:numPr>
          <w:ilvl w:val="0"/>
          <w:numId w:val="2"/>
        </w:numPr>
        <w:jc w:val="both"/>
      </w:pPr>
      <w:r>
        <w:rPr>
          <w:sz w:val="24"/>
          <w:szCs w:val="24"/>
          <w:rFonts w:ascii="Times New Roman" w:cs="Times New Roman" w:hAnsi="Times New Roman"/>
        </w:rPr>
        <w:t>Реестр рекламных конструкций.</w:t>
      </w:r>
    </w:p>
    <w:p>
      <w:pPr>
        <w:pStyle w:val="style0"/>
        <w:jc w:val="both"/>
      </w:pPr>
      <w:r>
        <w:rPr>
          <w:sz w:val="24"/>
          <w:szCs w:val="24"/>
          <w:rFonts w:ascii="Times New Roman" w:cs="Times New Roman" w:hAnsi="Times New Roman"/>
        </w:rPr>
        <w:t>При размещении рекламных конструкций особое внимание уделялось размещению технических средств организации движения и обеспечению безопасности.</w:t>
      </w:r>
    </w:p>
    <w:p>
      <w:pPr>
        <w:pStyle w:val="style0"/>
        <w:jc w:val="both"/>
      </w:pPr>
      <w:r>
        <w:rPr>
          <w:sz w:val="24"/>
          <w:szCs w:val="24"/>
          <w:rFonts w:ascii="Times New Roman" w:cs="Times New Roman" w:hAnsi="Times New Roman"/>
        </w:rPr>
        <w:t>Все расстояния соответствуют требованиям ГОСТ Р 52044-2003 «Наружная реклама на автомобильных дорогах».</w:t>
      </w:r>
    </w:p>
    <w:p>
      <w:pPr>
        <w:pStyle w:val="style0"/>
        <w:jc w:val="both"/>
      </w:pPr>
      <w:r>
        <w:rPr>
          <w:sz w:val="24"/>
          <w:szCs w:val="24"/>
          <w:rFonts w:ascii="Times New Roman" w:cs="Times New Roman" w:hAnsi="Times New Roman"/>
        </w:rPr>
        <w:t>Разработанная схема соответствует документам территориального планирования и градостроительного зонирования, обеспечивает соблюдение внешнего архитектурного облика сложившейся застройки, градостроительных норм и правил, требований безопасности.</w:t>
      </w:r>
    </w:p>
    <w:p>
      <w:pPr>
        <w:pStyle w:val="style0"/>
        <w:jc w:val="both"/>
      </w:pPr>
      <w:r>
        <w:rPr>
          <w:sz w:val="24"/>
          <w:szCs w:val="24"/>
          <w:rFonts w:ascii="Times New Roman" w:cs="Times New Roman" w:hAnsi="Times New Roman"/>
        </w:rPr>
        <w:t>Проектирование Схемы выполнялось с учетом проекта организации движения и расположения технических средств организации дорожного движения.</w:t>
      </w:r>
    </w:p>
    <w:p>
      <w:pPr>
        <w:pStyle w:val="style0"/>
        <w:jc w:val="both"/>
      </w:pPr>
      <w:r>
        <w:rPr>
          <w:sz w:val="24"/>
          <w:szCs w:val="24"/>
          <w:rFonts w:ascii="Times New Roman" w:cs="Times New Roman" w:hAnsi="Times New Roman"/>
        </w:rPr>
        <w:t>Вид рекламных конструкций предлагаемых для размещения на территории с. Азово отдельно стоящие состоящие из фундамента, каркаса, опоры и информационного поля размерами до 6 кв.м. и от 6 до 18 кв.м.  оборудованные системой воспроизведения видео изображения или автоматической смены изображения.</w:t>
      </w:r>
    </w:p>
    <w:p>
      <w:pPr>
        <w:pStyle w:val="style0"/>
        <w:jc w:val="both"/>
      </w:pPr>
      <w:r>
        <w:rPr>
          <w:sz w:val="24"/>
          <w:szCs w:val="24"/>
          <w:rFonts w:ascii="Times New Roman" w:cs="Times New Roman" w:hAnsi="Times New Roman"/>
        </w:rPr>
        <w:t>Рекламные конструкции располагаются сбоку  от автомобильной дороги на расстоянии не менее 5м от бровки земляного полотна (бордюрного камня)</w:t>
      </w:r>
    </w:p>
    <w:p>
      <w:pPr>
        <w:pStyle w:val="style0"/>
        <w:jc w:val="both"/>
      </w:pPr>
      <w:r>
        <w:rPr>
          <w:sz w:val="24"/>
          <w:szCs w:val="24"/>
          <w:rFonts w:ascii="Times New Roman" w:cs="Times New Roman" w:hAnsi="Times New Roman"/>
        </w:rPr>
        <w:t>Существующих рекламных конструкций -  2 шт.</w:t>
      </w:r>
    </w:p>
    <w:p>
      <w:pPr>
        <w:pStyle w:val="style0"/>
        <w:jc w:val="both"/>
      </w:pPr>
      <w:r>
        <w:rPr>
          <w:sz w:val="24"/>
          <w:szCs w:val="24"/>
          <w:rFonts w:ascii="Times New Roman" w:cs="Times New Roman" w:hAnsi="Times New Roman"/>
        </w:rPr>
        <w:t xml:space="preserve">Новых мест предлагаемых к размещению рекламных конструкций -  </w:t>
      </w:r>
      <w:r>
        <w:rPr>
          <w:sz w:val="24"/>
          <w:szCs w:val="24"/>
          <w:rFonts w:ascii="Times New Roman" w:cs="Times New Roman" w:hAnsi="Times New Roman"/>
        </w:rPr>
        <w:t>35</w:t>
      </w:r>
      <w:r>
        <w:rPr>
          <w:sz w:val="24"/>
          <w:szCs w:val="24"/>
          <w:rFonts w:ascii="Times New Roman" w:cs="Times New Roman" w:hAnsi="Times New Roman"/>
        </w:rPr>
        <w:t xml:space="preserve"> шт.</w:t>
      </w:r>
    </w:p>
    <w:p>
      <w:pPr>
        <w:pStyle w:val="style0"/>
        <w:jc w:val="both"/>
      </w:pPr>
      <w:r>
        <w:rPr>
          <w:sz w:val="24"/>
          <w:szCs w:val="24"/>
          <w:rFonts w:ascii="Times New Roman" w:cs="Times New Roman" w:hAnsi="Times New Roman"/>
        </w:rPr>
        <w:t>Не соответствуют ГОСТу и подлежат демонтажу рекламные конструкции -  1 шт.</w:t>
      </w:r>
    </w:p>
    <w:p>
      <w:pPr>
        <w:pStyle w:val="style0"/>
        <w:jc w:val="both"/>
      </w:pPr>
      <w:r>
        <w:rPr/>
      </w:r>
    </w:p>
    <w:p>
      <w:pPr>
        <w:pStyle w:val="style0"/>
        <w:jc w:val="center"/>
      </w:pPr>
      <w:r>
        <w:rPr>
          <w:sz w:val="24"/>
          <w:szCs w:val="24"/>
          <w:rFonts w:ascii="Times New Roman" w:cs="Times New Roman" w:hAnsi="Times New Roman"/>
        </w:rPr>
        <w:t>ОСНОВНЫЕ ТРЕБОВАНИЯ К РЕКЛАМНЫМ КОНСТРУКЦИЯМ И ИХ РАЗМЕЩЕНИЮ</w:t>
      </w:r>
    </w:p>
    <w:p>
      <w:pPr>
        <w:pStyle w:val="style21"/>
        <w:numPr>
          <w:ilvl w:val="0"/>
          <w:numId w:val="3"/>
        </w:numPr>
        <w:jc w:val="both"/>
      </w:pPr>
      <w:r>
        <w:rPr>
          <w:sz w:val="24"/>
          <w:szCs w:val="24"/>
          <w:rFonts w:ascii="Times New Roman" w:cs="Times New Roman" w:hAnsi="Times New Roman"/>
        </w:rPr>
        <w:t>Конструкции средств наружной рекламы должны быть изготовлены и установлены с учетом нагрузок и других воздействий, соответствующих требованиям СНиП и других нормативных документов.</w:t>
      </w:r>
    </w:p>
    <w:p>
      <w:pPr>
        <w:pStyle w:val="style21"/>
        <w:numPr>
          <w:ilvl w:val="0"/>
          <w:numId w:val="3"/>
        </w:numPr>
        <w:jc w:val="both"/>
      </w:pPr>
      <w:r>
        <w:rPr>
          <w:sz w:val="24"/>
          <w:szCs w:val="24"/>
          <w:rFonts w:ascii="Times New Roman" w:cs="Times New Roman" w:hAnsi="Times New Roman"/>
        </w:rPr>
        <w:t>Конструкции средств наружной рекламы должны иметь заключение о соответствии строительным нормам и правилам, техническим регламентам другим нормативным документам подготовленное проектной организацией имеющий соответствующий допуск от СРО.</w:t>
      </w:r>
    </w:p>
    <w:p>
      <w:pPr>
        <w:pStyle w:val="style21"/>
        <w:numPr>
          <w:ilvl w:val="0"/>
          <w:numId w:val="3"/>
        </w:numPr>
        <w:jc w:val="both"/>
      </w:pPr>
      <w:r>
        <w:rPr>
          <w:sz w:val="24"/>
          <w:szCs w:val="24"/>
          <w:rFonts w:ascii="Times New Roman" w:cs="Times New Roman" w:hAnsi="Times New Roman"/>
        </w:rPr>
        <w:t>Конструктивные элементы жесткости и крепления (болтовые соединения, элементы опор, технические косынки и т.п.) должны быть закреплены декоративными элементами.</w:t>
      </w:r>
    </w:p>
    <w:p>
      <w:pPr>
        <w:pStyle w:val="style21"/>
        <w:numPr>
          <w:ilvl w:val="0"/>
          <w:numId w:val="3"/>
        </w:numPr>
        <w:jc w:val="both"/>
      </w:pPr>
      <w:r>
        <w:rPr>
          <w:sz w:val="24"/>
          <w:szCs w:val="24"/>
          <w:rFonts w:ascii="Times New Roman" w:cs="Times New Roman" w:hAnsi="Times New Roman"/>
        </w:rPr>
        <w:t>Не допускается повреждение сооружений при креплении к ним средств размещения рекламы, а также снижение их прочности и устойчивости.</w:t>
      </w:r>
    </w:p>
    <w:p>
      <w:pPr>
        <w:pStyle w:val="style21"/>
        <w:numPr>
          <w:ilvl w:val="0"/>
          <w:numId w:val="3"/>
        </w:numPr>
        <w:jc w:val="both"/>
      </w:pPr>
      <w:r>
        <w:rPr>
          <w:sz w:val="24"/>
          <w:szCs w:val="24"/>
          <w:rFonts w:ascii="Times New Roman" w:cs="Times New Roman" w:hAnsi="Times New Roman"/>
        </w:rPr>
        <w:t>В средствах наружной рекламы используют осветительные приборы промышленного изготовления, обеспечивающие требования электро- и пожаробезопасности. Осветительные приборы и устройства, подключаемые к электросети, должны соответствовать требованиям Правил устройства электроустановок, утвержденных Министерством энергетики Российской Федерации, приказ от 8 июля 2002г. №204, а их эксплуатация требованиям  Правил эксплуатации и техники безопасности, утвержденных  Главгосэнергонадзором  21 декабря 1984г.</w:t>
      </w:r>
    </w:p>
    <w:p>
      <w:pPr>
        <w:pStyle w:val="style21"/>
        <w:numPr>
          <w:ilvl w:val="0"/>
          <w:numId w:val="3"/>
        </w:numPr>
        <w:jc w:val="both"/>
      </w:pPr>
      <w:r>
        <w:rPr>
          <w:sz w:val="24"/>
          <w:szCs w:val="24"/>
          <w:rFonts w:ascii="Times New Roman" w:cs="Times New Roman" w:hAnsi="Times New Roman"/>
        </w:rPr>
        <w:t>При внутреннем или наружном освещении рекламы осветительные приборы и устройства должны быть установлены таким образом, чтобы исключить прямое попадание световых лучей на проезжую часть.</w:t>
      </w:r>
    </w:p>
    <w:p>
      <w:pPr>
        <w:pStyle w:val="style21"/>
        <w:numPr>
          <w:ilvl w:val="0"/>
          <w:numId w:val="3"/>
        </w:numPr>
        <w:jc w:val="both"/>
      </w:pPr>
      <w:r>
        <w:rPr>
          <w:sz w:val="24"/>
          <w:szCs w:val="24"/>
          <w:rFonts w:ascii="Times New Roman" w:cs="Times New Roman" w:hAnsi="Times New Roman"/>
        </w:rPr>
        <w:t>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ветровую, снеговую и вибрационную нагрузки.</w:t>
      </w:r>
    </w:p>
    <w:p>
      <w:pPr>
        <w:pStyle w:val="style21"/>
        <w:numPr>
          <w:ilvl w:val="0"/>
          <w:numId w:val="3"/>
        </w:numPr>
        <w:jc w:val="both"/>
      </w:pPr>
      <w:r>
        <w:rPr>
          <w:sz w:val="24"/>
          <w:szCs w:val="24"/>
          <w:rFonts w:ascii="Times New Roman" w:cs="Times New Roman" w:hAnsi="Times New Roman"/>
        </w:rPr>
        <w:t>Средство наружной рекламы должно иметь маркировку с указанием владельца рекламной конструкции и номера его телефона. Маркировка должна быть размещена под информационным полем. Размер текста должен позволять его прочтение с ближайшей полосы движения транспортных средств.</w:t>
      </w:r>
    </w:p>
    <w:p>
      <w:pPr>
        <w:pStyle w:val="style21"/>
        <w:numPr>
          <w:ilvl w:val="0"/>
          <w:numId w:val="3"/>
        </w:numPr>
        <w:jc w:val="both"/>
      </w:pPr>
      <w:r>
        <w:rPr>
          <w:sz w:val="24"/>
          <w:szCs w:val="24"/>
          <w:rFonts w:ascii="Times New Roman" w:cs="Times New Roman" w:hAnsi="Times New Roman"/>
        </w:rPr>
        <w:t>Фундаменты размещения стационарных средств наружной рекламы должны быть заглублены на 15-20 см ниже уровня грунта с последующим восстановлением газона на нем. Фундаменты опор не должны выступать над уровнем земли более чем на 5 см. Допускается размещение выступающих более чем на 5 см фундаментов опор на тротуаре при наличии бортового камня или дорожных ограждений, если это не препятствует движению пешеходов и уборке улиц.</w:t>
      </w:r>
    </w:p>
    <w:p>
      <w:pPr>
        <w:pStyle w:val="style21"/>
        <w:numPr>
          <w:ilvl w:val="0"/>
          <w:numId w:val="3"/>
        </w:numPr>
        <w:jc w:val="both"/>
      </w:pPr>
      <w:r>
        <w:rPr>
          <w:sz w:val="24"/>
          <w:szCs w:val="24"/>
          <w:rFonts w:ascii="Times New Roman" w:cs="Times New Roman" w:hAnsi="Times New Roman"/>
        </w:rPr>
        <w:t>Расстояние в плане от фундамента до границы имеющихся подземных коммуникаций должна быть не менее 1м.</w:t>
      </w:r>
    </w:p>
    <w:p>
      <w:pPr>
        <w:pStyle w:val="style21"/>
        <w:numPr>
          <w:ilvl w:val="0"/>
          <w:numId w:val="3"/>
        </w:numPr>
        <w:jc w:val="both"/>
      </w:pPr>
      <w:r>
        <w:rPr>
          <w:sz w:val="24"/>
          <w:szCs w:val="24"/>
          <w:rFonts w:ascii="Times New Roman" w:cs="Times New Roman" w:hAnsi="Times New Roman"/>
        </w:rPr>
        <w:t>Удаление средств наружной рекламы от линий электропередачи осветительной сети должна быть не менее 1м.</w:t>
      </w:r>
    </w:p>
    <w:p>
      <w:pPr>
        <w:pStyle w:val="style21"/>
        <w:numPr>
          <w:ilvl w:val="0"/>
          <w:numId w:val="3"/>
        </w:numPr>
        <w:jc w:val="both"/>
      </w:pPr>
      <w:r>
        <w:rPr>
          <w:sz w:val="24"/>
          <w:szCs w:val="24"/>
          <w:rFonts w:ascii="Times New Roman" w:cs="Times New Roman" w:hAnsi="Times New Roman"/>
        </w:rPr>
        <w:t>Средства наружной рекламы без изображения или с испорченным изображением должны быть демонтированы в течении 7 суток.</w:t>
      </w:r>
    </w:p>
    <w:p>
      <w:pPr>
        <w:pStyle w:val="style21"/>
        <w:numPr>
          <w:ilvl w:val="0"/>
          <w:numId w:val="3"/>
        </w:numPr>
        <w:jc w:val="both"/>
      </w:pPr>
      <w:r>
        <w:rPr>
          <w:sz w:val="24"/>
          <w:szCs w:val="24"/>
          <w:rFonts w:ascii="Times New Roman" w:cs="Times New Roman" w:hAnsi="Times New Roman"/>
        </w:rPr>
        <w:t>Владелец рекламной конструкции обязан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фундаментов.</w:t>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spacing w:after="200" w:before="0"/>
      </w:pPr>
      <w:r>
        <w:rPr/>
      </w:r>
    </w:p>
    <w:sectPr>
      <w:formProt w:val="off"/>
      <w:pgSz w:h="16838" w:w="11906"/>
      <w:docGrid w:charSpace="4096" w:linePitch="240" w:type="default"/>
      <w:textDirection w:val="lrTb"/>
      <w:pgNumType w:fmt="decimal"/>
      <w:type w:val="nextPage"/>
      <w:pgMar w:bottom="851" w:left="1701" w:right="851" w:top="851"/>
    </w:sectPr>
  </w:body>
</w:document>
</file>

<file path=word/fontTable.xml><?xml version="1.0" encoding="utf-8"?>
<w:fonts xmlns:w="http://schemas.openxmlformats.org/wordprocessingml/2006/main">
  <w:font w:name="Times New Roman">
    <w:charset w:val="cc"/>
    <w:family w:val="roman"/>
    <w:pitch w:val="variable"/>
  </w:font>
  <w:font w:name="Symbol">
    <w:charset w:val="02"/>
    <w:family w:val="roman"/>
    <w:pitch w:val="variable"/>
  </w:font>
  <w:font w:name="Arial">
    <w:charset w:val="cc"/>
    <w:family w:val="swiss"/>
    <w:pitch w:val="variable"/>
  </w:font>
  <w:font w:name="Arial">
    <w:charset w:val="cc"/>
    <w:family w:val="auto"/>
    <w:pitch w:val="default"/>
  </w:font>
</w:fonts>
</file>

<file path=word/numbering.xml><?xml version="1.0" encoding="utf-8"?>
<w:numbering xmlns:w="http://schemas.openxmlformats.org/wordprocessingml/2006/main">
  <w:abstractNum w:abstractNumId="1">
    <w:lvl w:ilvl="0">
      <w:start w:val="1"/>
      <w:numFmt w:val="decimal"/>
      <w:lvlJc w:val="left"/>
      <w:lvlText w:val="%1."/>
      <w:pPr>
        <w:ind w:hanging="360" w:left="1069"/>
      </w:pPr>
    </w:lvl>
    <w:lvl w:ilvl="1">
      <w:start w:val="1"/>
      <w:numFmt w:val="lowerLetter"/>
      <w:lvlJc w:val="left"/>
      <w:lvlText w:val="%2."/>
      <w:pPr>
        <w:ind w:hanging="360" w:left="1789"/>
      </w:pPr>
    </w:lvl>
    <w:lvl w:ilvl="2">
      <w:start w:val="1"/>
      <w:numFmt w:val="lowerRoman"/>
      <w:lvlJc w:val="right"/>
      <w:lvlText w:val="%2.%3."/>
      <w:pPr>
        <w:ind w:hanging="180" w:left="2509"/>
      </w:pPr>
    </w:lvl>
    <w:lvl w:ilvl="3">
      <w:start w:val="1"/>
      <w:numFmt w:val="decimal"/>
      <w:lvlJc w:val="left"/>
      <w:lvlText w:val="%2.%3.%4."/>
      <w:pPr>
        <w:ind w:hanging="360" w:left="3229"/>
      </w:pPr>
    </w:lvl>
    <w:lvl w:ilvl="4">
      <w:start w:val="1"/>
      <w:numFmt w:val="lowerLetter"/>
      <w:lvlJc w:val="left"/>
      <w:lvlText w:val="%2.%3.%4.%5."/>
      <w:pPr>
        <w:ind w:hanging="360" w:left="3949"/>
      </w:pPr>
    </w:lvl>
    <w:lvl w:ilvl="5">
      <w:start w:val="1"/>
      <w:numFmt w:val="lowerRoman"/>
      <w:lvlJc w:val="right"/>
      <w:lvlText w:val="%2.%3.%4.%5.%6."/>
      <w:pPr>
        <w:ind w:hanging="180" w:left="4669"/>
      </w:pPr>
    </w:lvl>
    <w:lvl w:ilvl="6">
      <w:start w:val="1"/>
      <w:numFmt w:val="decimal"/>
      <w:lvlJc w:val="left"/>
      <w:lvlText w:val="%2.%3.%4.%5.%6.%7."/>
      <w:pPr>
        <w:ind w:hanging="360" w:left="5389"/>
      </w:pPr>
    </w:lvl>
    <w:lvl w:ilvl="7">
      <w:start w:val="1"/>
      <w:numFmt w:val="lowerLetter"/>
      <w:lvlJc w:val="left"/>
      <w:lvlText w:val="%2.%3.%4.%5.%6.%7.%8."/>
      <w:pPr>
        <w:ind w:hanging="360" w:left="6109"/>
      </w:pPr>
    </w:lvl>
    <w:lvl w:ilvl="8">
      <w:start w:val="1"/>
      <w:numFmt w:val="lowerRoman"/>
      <w:lvlJc w:val="right"/>
      <w:lvlText w:val="%2.%3.%4.%5.%6.%7.%8.%9."/>
      <w:pPr>
        <w:ind w:hanging="180" w:left="6829"/>
      </w:pPr>
    </w:lvl>
  </w:abstractNum>
  <w:abstractNum w:abstractNumId="2">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3">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Базовый"/>
    <w:next w:val="style0"/>
    <w:pPr>
      <w:jc w:val="left"/>
      <w:widowControl/>
      <w:tabs>
        <w:tab w:leader="none" w:pos="709" w:val="left"/>
      </w:tabs>
      <w:suppressAutoHyphens w:val="true"/>
      <w:spacing w:after="200" w:before="0" w:line="276" w:lineRule="atLeast"/>
    </w:pPr>
    <w:rPr>
      <w:color w:val="00000A"/>
      <w:sz w:val="22"/>
      <w:szCs w:val="22"/>
      <w:rFonts w:ascii="Calibri" w:cs="" w:eastAsia="SimSun" w:hAnsi="Calibri"/>
      <w:lang w:bidi="ar-SA" w:eastAsia="en-US" w:val="ru-RU"/>
    </w:rPr>
  </w:style>
  <w:style w:styleId="style15" w:type="character">
    <w:name w:val="Default Paragraph Font"/>
    <w:next w:val="style15"/>
    <w:rPr/>
  </w:style>
  <w:style w:styleId="style16" w:type="paragraph">
    <w:name w:val="Заголовок"/>
    <w:basedOn w:val="style0"/>
    <w:next w:val="style17"/>
    <w:pPr>
      <w:keepNext/>
      <w:spacing w:after="120" w:before="240"/>
    </w:pPr>
    <w:rPr>
      <w:sz w:val="28"/>
      <w:szCs w:val="28"/>
      <w:rFonts w:ascii="Arial" w:cs="Mangal" w:eastAsia="SimSun" w:hAnsi="Arial"/>
    </w:rPr>
  </w:style>
  <w:style w:styleId="style17" w:type="paragraph">
    <w:name w:val="Основной текст"/>
    <w:basedOn w:val="style0"/>
    <w:next w:val="style17"/>
    <w:pPr>
      <w:spacing w:after="120" w:before="0"/>
    </w:pPr>
    <w:rPr/>
  </w:style>
  <w:style w:styleId="style18" w:type="paragraph">
    <w:name w:val="Список"/>
    <w:basedOn w:val="style17"/>
    <w:next w:val="style18"/>
    <w:pPr/>
    <w:rPr>
      <w:rFonts w:ascii="Arial" w:cs="Mangal" w:hAnsi="Arial"/>
    </w:rPr>
  </w:style>
  <w:style w:styleId="style19" w:type="paragraph">
    <w:name w:val="Название"/>
    <w:basedOn w:val="style0"/>
    <w:next w:val="style19"/>
    <w:pPr>
      <w:suppressLineNumbers/>
      <w:spacing w:after="120" w:before="120"/>
    </w:pPr>
    <w:rPr>
      <w:sz w:val="20"/>
      <w:i/>
      <w:szCs w:val="24"/>
      <w:iCs/>
      <w:rFonts w:ascii="Arial" w:cs="Mangal" w:hAnsi="Arial"/>
    </w:rPr>
  </w:style>
  <w:style w:styleId="style20" w:type="paragraph">
    <w:name w:val="Указатель"/>
    <w:basedOn w:val="style0"/>
    <w:next w:val="style20"/>
    <w:pPr>
      <w:suppressLineNumbers/>
    </w:pPr>
    <w:rPr>
      <w:rFonts w:ascii="Arial" w:cs="Mangal" w:hAnsi="Arial"/>
    </w:rPr>
  </w:style>
  <w:style w:styleId="style21" w:type="paragraph">
    <w:name w:val="List Paragraph"/>
    <w:basedOn w:val="style0"/>
    <w:next w:val="style2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389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2015-02-09T04:57:00.00Z</dcterms:created>
  <dc:creator>Ирина</dc:creator>
  <cp:lastModifiedBy>Ирина</cp:lastModifiedBy>
  <cp:lastPrinted>2014-10-01T04:34:00.00Z</cp:lastPrinted>
  <dcterms:modified xsi:type="dcterms:W3CDTF">2015-02-11T08:59:00.00Z</dcterms:modified>
  <cp:revision>35</cp:revision>
</cp:coreProperties>
</file>