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C949CC" w:rsidP="00C949CC">
      <w:pPr>
        <w:autoSpaceDE w:val="0"/>
      </w:pPr>
      <w:r>
        <w:rPr>
          <w:sz w:val="26"/>
          <w:szCs w:val="26"/>
        </w:rPr>
        <w:t>28.02.2024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№ 47-301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1.1.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«658 272 678,43» заменить цифрами «792 122 361,54»;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2 цифры «658 272 678,43» заменить цифрами «815 409 262,88».</w:t>
      </w:r>
    </w:p>
    <w:p w:rsidR="00C949CC" w:rsidRDefault="00C949CC" w:rsidP="00C949CC">
      <w:pPr>
        <w:autoSpaceDE w:val="0"/>
        <w:ind w:firstLine="709"/>
        <w:jc w:val="both"/>
      </w:pPr>
      <w:r>
        <w:rPr>
          <w:sz w:val="26"/>
          <w:szCs w:val="26"/>
        </w:rPr>
        <w:t>- подпункт 3 изложить в следующей редакции:</w:t>
      </w:r>
    </w:p>
    <w:p w:rsidR="00C949CC" w:rsidRDefault="00C949CC" w:rsidP="00C949CC">
      <w:pPr>
        <w:tabs>
          <w:tab w:val="left" w:pos="0"/>
        </w:tabs>
        <w:ind w:firstLine="709"/>
        <w:jc w:val="both"/>
      </w:pPr>
      <w:r>
        <w:rPr>
          <w:sz w:val="26"/>
          <w:szCs w:val="26"/>
        </w:rPr>
        <w:t xml:space="preserve">«3) Превышение расходов над доходами районного бюджета в 2024 году определить в размере 23 286 901,34 рублей, или 28,6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C949CC" w:rsidRDefault="00C949CC" w:rsidP="00C949CC">
      <w:pPr>
        <w:tabs>
          <w:tab w:val="left" w:pos="0"/>
        </w:tabs>
        <w:ind w:firstLine="709"/>
        <w:jc w:val="both"/>
      </w:pPr>
      <w:r>
        <w:rPr>
          <w:sz w:val="26"/>
          <w:szCs w:val="26"/>
        </w:rPr>
        <w:t xml:space="preserve">С учетом снижения остатков средств на счетах по учету средств районного бюджета дефицит районного бюджета составит 0,00 рублей». 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1.2. в пункте 2: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«596 282 929,62» заменить цифрами «63</w:t>
      </w:r>
      <w:r w:rsidR="00B750E2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B750E2">
        <w:rPr>
          <w:sz w:val="26"/>
          <w:szCs w:val="26"/>
        </w:rPr>
        <w:t>125</w:t>
      </w:r>
      <w:bookmarkStart w:id="0" w:name="_GoBack"/>
      <w:bookmarkEnd w:id="0"/>
      <w:r>
        <w:rPr>
          <w:sz w:val="26"/>
          <w:szCs w:val="26"/>
        </w:rPr>
        <w:t> 604,38», цифры «616 5</w:t>
      </w:r>
      <w:r w:rsidR="00B750E2">
        <w:rPr>
          <w:sz w:val="26"/>
          <w:szCs w:val="26"/>
        </w:rPr>
        <w:t>46 828,67» заменить цифрами «637</w:t>
      </w:r>
      <w:r>
        <w:rPr>
          <w:sz w:val="26"/>
          <w:szCs w:val="26"/>
        </w:rPr>
        <w:t> </w:t>
      </w:r>
      <w:r w:rsidR="00B750E2">
        <w:rPr>
          <w:sz w:val="26"/>
          <w:szCs w:val="26"/>
        </w:rPr>
        <w:t>405</w:t>
      </w:r>
      <w:r>
        <w:rPr>
          <w:sz w:val="26"/>
          <w:szCs w:val="26"/>
        </w:rPr>
        <w:t> </w:t>
      </w:r>
      <w:r w:rsidR="00B750E2">
        <w:rPr>
          <w:sz w:val="26"/>
          <w:szCs w:val="26"/>
        </w:rPr>
        <w:t>5</w:t>
      </w:r>
      <w:r>
        <w:rPr>
          <w:sz w:val="26"/>
          <w:szCs w:val="26"/>
        </w:rPr>
        <w:t>06,51»;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2 цифры «596 282 929,62» заменить цифрами «63</w:t>
      </w:r>
      <w:r w:rsidR="00B750E2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B750E2">
        <w:rPr>
          <w:sz w:val="26"/>
          <w:szCs w:val="26"/>
        </w:rPr>
        <w:t>125</w:t>
      </w:r>
      <w:r>
        <w:rPr>
          <w:sz w:val="26"/>
          <w:szCs w:val="26"/>
        </w:rPr>
        <w:t xml:space="preserve"> 604,38», </w:t>
      </w:r>
      <w:r w:rsidR="00B750E2">
        <w:rPr>
          <w:sz w:val="26"/>
          <w:szCs w:val="26"/>
        </w:rPr>
        <w:t>цифры «6 497</w:t>
      </w:r>
      <w:r w:rsidR="00B750E2">
        <w:rPr>
          <w:sz w:val="26"/>
          <w:szCs w:val="26"/>
        </w:rPr>
        <w:t> </w:t>
      </w:r>
      <w:r w:rsidR="00B750E2">
        <w:rPr>
          <w:sz w:val="26"/>
          <w:szCs w:val="26"/>
        </w:rPr>
        <w:t>067,47» заменить цифрами «6 505</w:t>
      </w:r>
      <w:r w:rsidR="00B750E2">
        <w:rPr>
          <w:sz w:val="26"/>
          <w:szCs w:val="26"/>
        </w:rPr>
        <w:t> </w:t>
      </w:r>
      <w:r w:rsidR="00B750E2">
        <w:rPr>
          <w:sz w:val="26"/>
          <w:szCs w:val="26"/>
        </w:rPr>
        <w:t xml:space="preserve">092,47», </w:t>
      </w:r>
      <w:r>
        <w:rPr>
          <w:sz w:val="26"/>
          <w:szCs w:val="26"/>
        </w:rPr>
        <w:t>цифры «616 5</w:t>
      </w:r>
      <w:r w:rsidR="00B750E2">
        <w:rPr>
          <w:sz w:val="26"/>
          <w:szCs w:val="26"/>
        </w:rPr>
        <w:t>46 828,67» заменить цифрами «637</w:t>
      </w:r>
      <w:r>
        <w:rPr>
          <w:sz w:val="26"/>
          <w:szCs w:val="26"/>
        </w:rPr>
        <w:t> </w:t>
      </w:r>
      <w:r w:rsidR="00B750E2">
        <w:rPr>
          <w:sz w:val="26"/>
          <w:szCs w:val="26"/>
        </w:rPr>
        <w:t>405</w:t>
      </w:r>
      <w:r>
        <w:rPr>
          <w:sz w:val="26"/>
          <w:szCs w:val="26"/>
        </w:rPr>
        <w:t> </w:t>
      </w:r>
      <w:r w:rsidR="00B750E2">
        <w:rPr>
          <w:sz w:val="26"/>
          <w:szCs w:val="26"/>
        </w:rPr>
        <w:t>5</w:t>
      </w:r>
      <w:r>
        <w:rPr>
          <w:sz w:val="26"/>
          <w:szCs w:val="26"/>
        </w:rPr>
        <w:t>06,51»</w:t>
      </w:r>
      <w:r w:rsidR="00B750E2" w:rsidRPr="00B750E2">
        <w:rPr>
          <w:sz w:val="26"/>
          <w:szCs w:val="26"/>
        </w:rPr>
        <w:t xml:space="preserve"> </w:t>
      </w:r>
      <w:r w:rsidR="00B750E2">
        <w:rPr>
          <w:sz w:val="26"/>
          <w:szCs w:val="26"/>
        </w:rPr>
        <w:t>цифры «</w:t>
      </w:r>
      <w:r w:rsidR="00B750E2">
        <w:rPr>
          <w:sz w:val="26"/>
          <w:szCs w:val="26"/>
        </w:rPr>
        <w:t>13</w:t>
      </w:r>
      <w:r w:rsidR="00B750E2">
        <w:rPr>
          <w:sz w:val="26"/>
          <w:szCs w:val="26"/>
        </w:rPr>
        <w:t> </w:t>
      </w:r>
      <w:r w:rsidR="00B750E2">
        <w:rPr>
          <w:sz w:val="26"/>
          <w:szCs w:val="26"/>
        </w:rPr>
        <w:t>996</w:t>
      </w:r>
      <w:r w:rsidR="00B750E2">
        <w:rPr>
          <w:sz w:val="26"/>
          <w:szCs w:val="26"/>
        </w:rPr>
        <w:t> </w:t>
      </w:r>
      <w:r w:rsidR="00B750E2">
        <w:rPr>
          <w:sz w:val="26"/>
          <w:szCs w:val="26"/>
        </w:rPr>
        <w:t>717</w:t>
      </w:r>
      <w:r w:rsidR="00B750E2">
        <w:rPr>
          <w:sz w:val="26"/>
          <w:szCs w:val="26"/>
        </w:rPr>
        <w:t>,</w:t>
      </w:r>
      <w:r w:rsidR="00B750E2">
        <w:rPr>
          <w:sz w:val="26"/>
          <w:szCs w:val="26"/>
        </w:rPr>
        <w:t>44</w:t>
      </w:r>
      <w:r w:rsidR="00B750E2">
        <w:rPr>
          <w:sz w:val="26"/>
          <w:szCs w:val="26"/>
        </w:rPr>
        <w:t>» заменить цифрами «</w:t>
      </w:r>
      <w:r w:rsidR="00B750E2">
        <w:rPr>
          <w:sz w:val="26"/>
          <w:szCs w:val="26"/>
        </w:rPr>
        <w:t>13</w:t>
      </w:r>
      <w:r w:rsidR="00B750E2">
        <w:rPr>
          <w:sz w:val="26"/>
          <w:szCs w:val="26"/>
        </w:rPr>
        <w:t> </w:t>
      </w:r>
      <w:r w:rsidR="00B750E2">
        <w:rPr>
          <w:sz w:val="26"/>
          <w:szCs w:val="26"/>
        </w:rPr>
        <w:t>956</w:t>
      </w:r>
      <w:r w:rsidR="00B750E2">
        <w:rPr>
          <w:sz w:val="26"/>
          <w:szCs w:val="26"/>
        </w:rPr>
        <w:t> </w:t>
      </w:r>
      <w:r w:rsidR="00B750E2">
        <w:rPr>
          <w:sz w:val="26"/>
          <w:szCs w:val="26"/>
        </w:rPr>
        <w:t>602</w:t>
      </w:r>
      <w:r w:rsidR="00B750E2">
        <w:rPr>
          <w:sz w:val="26"/>
          <w:szCs w:val="26"/>
        </w:rPr>
        <w:t>,4</w:t>
      </w:r>
      <w:r w:rsidR="00B750E2">
        <w:rPr>
          <w:sz w:val="26"/>
          <w:szCs w:val="26"/>
        </w:rPr>
        <w:t>4</w:t>
      </w:r>
      <w:r w:rsidR="00B750E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 xml:space="preserve">2. В статье 3: 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пункте 1 цифры «12 498 587,84» заменить цифрами «12 835 694,48»;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lastRenderedPageBreak/>
        <w:tab/>
        <w:t>- в пункте 2 цифры «3 059 300,00» заменить цифрами «4 260 615,84».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3.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3.1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«381 696 366,90» заменить цифрами «515 233 700,01», цифры «353 532 918,09» заменить цифрами «393 054 592,85», цифры «355 431 717,14» заменить цифрами «377 092 694,98»;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«40 536 524,00» заменить цифрами «49 693 824,00»;</w:t>
      </w:r>
    </w:p>
    <w:p w:rsidR="00C949CC" w:rsidRPr="00957A59" w:rsidRDefault="00C949CC" w:rsidP="00C949CC">
      <w:pPr>
        <w:autoSpaceDE w:val="0"/>
        <w:ind w:firstLine="708"/>
        <w:jc w:val="both"/>
        <w:rPr>
          <w:sz w:val="26"/>
          <w:szCs w:val="26"/>
        </w:rPr>
      </w:pPr>
      <w:r w:rsidRPr="00957A59">
        <w:rPr>
          <w:sz w:val="26"/>
          <w:szCs w:val="26"/>
        </w:rPr>
        <w:t>3.2 Дополнить статью 7 «Межбюджетные трансферты»:</w:t>
      </w:r>
    </w:p>
    <w:p w:rsidR="00C949CC" w:rsidRPr="00957A59" w:rsidRDefault="00C949CC" w:rsidP="00C949CC">
      <w:pPr>
        <w:pStyle w:val="a5"/>
        <w:spacing w:line="276" w:lineRule="auto"/>
        <w:rPr>
          <w:sz w:val="26"/>
          <w:szCs w:val="26"/>
        </w:rPr>
      </w:pPr>
      <w:r w:rsidRPr="00957A59">
        <w:rPr>
          <w:sz w:val="26"/>
          <w:szCs w:val="26"/>
        </w:rPr>
        <w:t>а) пунктом 3 следующего содержания: «3. Утвердить объем иных межбюджетных трансф</w:t>
      </w:r>
      <w:r>
        <w:rPr>
          <w:sz w:val="26"/>
          <w:szCs w:val="26"/>
        </w:rPr>
        <w:t>ертов бюджетам поселений на 2024</w:t>
      </w:r>
      <w:r w:rsidRPr="00957A59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9</w:t>
      </w:r>
      <w:r w:rsidRPr="00957A59">
        <w:rPr>
          <w:sz w:val="26"/>
          <w:szCs w:val="26"/>
        </w:rPr>
        <w:t> </w:t>
      </w:r>
      <w:r>
        <w:rPr>
          <w:sz w:val="26"/>
          <w:szCs w:val="26"/>
        </w:rPr>
        <w:t>157</w:t>
      </w:r>
      <w:r w:rsidRPr="00957A59">
        <w:rPr>
          <w:sz w:val="26"/>
          <w:szCs w:val="26"/>
        </w:rPr>
        <w:t> </w:t>
      </w:r>
      <w:r>
        <w:rPr>
          <w:sz w:val="26"/>
          <w:szCs w:val="26"/>
        </w:rPr>
        <w:t>3</w:t>
      </w:r>
      <w:r w:rsidRPr="00957A59">
        <w:rPr>
          <w:sz w:val="26"/>
          <w:szCs w:val="26"/>
        </w:rPr>
        <w:t>00,00 руб., на 202</w:t>
      </w:r>
      <w:r>
        <w:rPr>
          <w:sz w:val="26"/>
          <w:szCs w:val="26"/>
        </w:rPr>
        <w:t>5</w:t>
      </w:r>
      <w:r w:rsidRPr="00957A59">
        <w:rPr>
          <w:sz w:val="26"/>
          <w:szCs w:val="26"/>
        </w:rPr>
        <w:t xml:space="preserve"> год в сумме 0,00 руб. и на 202</w:t>
      </w:r>
      <w:r>
        <w:rPr>
          <w:sz w:val="26"/>
          <w:szCs w:val="26"/>
        </w:rPr>
        <w:t>6</w:t>
      </w:r>
      <w:r w:rsidRPr="00957A59">
        <w:rPr>
          <w:sz w:val="26"/>
          <w:szCs w:val="26"/>
        </w:rPr>
        <w:t xml:space="preserve"> год в сумме 0,00 руб.</w:t>
      </w:r>
    </w:p>
    <w:p w:rsidR="00C949CC" w:rsidRPr="00957A59" w:rsidRDefault="00C949CC" w:rsidP="00C949CC">
      <w:pPr>
        <w:pStyle w:val="a5"/>
        <w:spacing w:line="276" w:lineRule="auto"/>
        <w:rPr>
          <w:sz w:val="26"/>
          <w:szCs w:val="26"/>
        </w:rPr>
      </w:pPr>
      <w:r w:rsidRPr="00957A59">
        <w:rPr>
          <w:sz w:val="26"/>
          <w:szCs w:val="26"/>
        </w:rPr>
        <w:t>Установить, что иные межбюджетные трансферты предоставляются:</w:t>
      </w:r>
    </w:p>
    <w:p w:rsidR="00C949CC" w:rsidRPr="00957A59" w:rsidRDefault="00C949CC" w:rsidP="00C949CC">
      <w:pPr>
        <w:pStyle w:val="a5"/>
        <w:spacing w:line="276" w:lineRule="auto"/>
        <w:rPr>
          <w:bCs/>
          <w:sz w:val="26"/>
          <w:szCs w:val="26"/>
        </w:rPr>
      </w:pPr>
      <w:r w:rsidRPr="00957A59">
        <w:rPr>
          <w:sz w:val="26"/>
          <w:szCs w:val="26"/>
        </w:rPr>
        <w:t xml:space="preserve">1) </w:t>
      </w:r>
      <w:r w:rsidRPr="00957A59">
        <w:rPr>
          <w:bCs/>
          <w:sz w:val="26"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C949CC" w:rsidRPr="00731B87" w:rsidRDefault="00C949CC" w:rsidP="00C949CC">
      <w:pPr>
        <w:pStyle w:val="a5"/>
        <w:spacing w:line="276" w:lineRule="auto"/>
        <w:rPr>
          <w:bCs/>
          <w:sz w:val="26"/>
          <w:szCs w:val="26"/>
        </w:rPr>
      </w:pPr>
      <w:r w:rsidRPr="00731B87">
        <w:rPr>
          <w:sz w:val="26"/>
          <w:szCs w:val="26"/>
        </w:rPr>
        <w:t>- обслуживание и содержание муниципального имущества;</w:t>
      </w:r>
    </w:p>
    <w:p w:rsidR="00C949CC" w:rsidRDefault="00C949CC" w:rsidP="00C949CC">
      <w:pPr>
        <w:pStyle w:val="a5"/>
        <w:spacing w:line="276" w:lineRule="auto"/>
        <w:rPr>
          <w:sz w:val="26"/>
          <w:szCs w:val="26"/>
        </w:rPr>
      </w:pPr>
      <w:r w:rsidRPr="00731B87">
        <w:rPr>
          <w:sz w:val="26"/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</w:t>
      </w:r>
      <w:r>
        <w:rPr>
          <w:sz w:val="26"/>
          <w:szCs w:val="26"/>
        </w:rPr>
        <w:t>;</w:t>
      </w:r>
    </w:p>
    <w:p w:rsidR="00C949CC" w:rsidRDefault="00C949CC" w:rsidP="00C949CC">
      <w:pPr>
        <w:pStyle w:val="a5"/>
        <w:spacing w:line="276" w:lineRule="auto"/>
        <w:rPr>
          <w:bCs/>
          <w:sz w:val="26"/>
          <w:szCs w:val="26"/>
        </w:rPr>
      </w:pPr>
      <w:r w:rsidRPr="00957A59">
        <w:rPr>
          <w:sz w:val="26"/>
          <w:szCs w:val="26"/>
        </w:rPr>
        <w:t>- организацию благоустройства территории поселения</w:t>
      </w:r>
      <w:r>
        <w:rPr>
          <w:bCs/>
          <w:sz w:val="26"/>
          <w:szCs w:val="26"/>
        </w:rPr>
        <w:t>;</w:t>
      </w:r>
    </w:p>
    <w:p w:rsidR="00C949CC" w:rsidRPr="00957A59" w:rsidRDefault="00C949CC" w:rsidP="00C949CC">
      <w:pPr>
        <w:pStyle w:val="a5"/>
        <w:spacing w:line="276" w:lineRule="auto"/>
        <w:rPr>
          <w:sz w:val="26"/>
          <w:szCs w:val="26"/>
        </w:rPr>
      </w:pPr>
      <w:r w:rsidRPr="00957A59">
        <w:rPr>
          <w:bCs/>
          <w:sz w:val="26"/>
          <w:szCs w:val="26"/>
        </w:rPr>
        <w:t>-</w:t>
      </w:r>
      <w:r w:rsidRPr="00957A59">
        <w:rPr>
          <w:sz w:val="26"/>
          <w:szCs w:val="26"/>
        </w:rPr>
        <w:t xml:space="preserve"> создание условий для организации досуга и обеспечения жителей поселени</w:t>
      </w:r>
      <w:r>
        <w:rPr>
          <w:sz w:val="26"/>
          <w:szCs w:val="26"/>
        </w:rPr>
        <w:t>я услугами организаций культуры</w:t>
      </w:r>
      <w:r w:rsidRPr="00957A59">
        <w:rPr>
          <w:sz w:val="26"/>
          <w:szCs w:val="26"/>
        </w:rPr>
        <w:t>.»</w:t>
      </w:r>
    </w:p>
    <w:p w:rsidR="00C949CC" w:rsidRPr="00246DF5" w:rsidRDefault="00C949CC" w:rsidP="00C949CC">
      <w:pPr>
        <w:pStyle w:val="a5"/>
        <w:spacing w:line="276" w:lineRule="auto"/>
        <w:rPr>
          <w:sz w:val="26"/>
          <w:szCs w:val="26"/>
        </w:rPr>
      </w:pPr>
      <w:r w:rsidRPr="00246DF5">
        <w:rPr>
          <w:sz w:val="26"/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C949CC" w:rsidRPr="00246DF5" w:rsidRDefault="00C949CC" w:rsidP="00C949CC">
      <w:pPr>
        <w:pStyle w:val="a5"/>
        <w:spacing w:line="276" w:lineRule="auto"/>
        <w:rPr>
          <w:sz w:val="26"/>
          <w:szCs w:val="26"/>
        </w:rPr>
      </w:pPr>
      <w:r w:rsidRPr="00246DF5">
        <w:rPr>
          <w:sz w:val="26"/>
          <w:szCs w:val="26"/>
        </w:rPr>
        <w:t xml:space="preserve">- </w:t>
      </w:r>
      <w:r w:rsidRPr="00246DF5">
        <w:rPr>
          <w:color w:val="000000"/>
          <w:sz w:val="26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 w:val="26"/>
          <w:szCs w:val="26"/>
        </w:rPr>
        <w:t>.</w:t>
      </w:r>
    </w:p>
    <w:p w:rsidR="00C949CC" w:rsidRPr="00957A59" w:rsidRDefault="00C949CC" w:rsidP="00C949CC">
      <w:pPr>
        <w:pStyle w:val="a5"/>
        <w:spacing w:line="276" w:lineRule="auto"/>
        <w:rPr>
          <w:sz w:val="26"/>
          <w:szCs w:val="26"/>
        </w:rPr>
      </w:pPr>
      <w:r w:rsidRPr="00957A59">
        <w:rPr>
          <w:sz w:val="26"/>
          <w:szCs w:val="26"/>
        </w:rPr>
        <w:t>б) пунктом 4 следующего содержания: «4. Утвердить случаи и методику распределения иных межбюджетных трансфертов бюджетам поселений на 202</w:t>
      </w:r>
      <w:r>
        <w:rPr>
          <w:sz w:val="26"/>
          <w:szCs w:val="26"/>
        </w:rPr>
        <w:t>4</w:t>
      </w:r>
      <w:r w:rsidRPr="00957A59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5</w:t>
      </w:r>
      <w:r w:rsidRPr="00957A59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957A59">
        <w:rPr>
          <w:sz w:val="26"/>
          <w:szCs w:val="26"/>
        </w:rPr>
        <w:t xml:space="preserve"> годов согласно </w:t>
      </w:r>
      <w:r w:rsidRPr="00957A59">
        <w:rPr>
          <w:b/>
          <w:sz w:val="26"/>
          <w:szCs w:val="26"/>
        </w:rPr>
        <w:t>приложению № 1</w:t>
      </w:r>
      <w:r w:rsidR="00FD5DC1">
        <w:rPr>
          <w:b/>
          <w:sz w:val="26"/>
          <w:szCs w:val="26"/>
        </w:rPr>
        <w:t>1</w:t>
      </w:r>
      <w:r w:rsidRPr="00957A59">
        <w:rPr>
          <w:sz w:val="26"/>
          <w:szCs w:val="26"/>
        </w:rPr>
        <w:t xml:space="preserve"> к настоящему решению.</w:t>
      </w:r>
    </w:p>
    <w:p w:rsidR="00C949CC" w:rsidRPr="00957A59" w:rsidRDefault="00C949CC" w:rsidP="00C949CC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eastAsia="en-US"/>
        </w:rPr>
      </w:pPr>
      <w:r w:rsidRPr="00957A59">
        <w:rPr>
          <w:sz w:val="26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области.»</w:t>
      </w:r>
    </w:p>
    <w:p w:rsidR="00C949CC" w:rsidRPr="00957A59" w:rsidRDefault="00C949CC" w:rsidP="00C949CC">
      <w:pPr>
        <w:pStyle w:val="a5"/>
        <w:spacing w:line="276" w:lineRule="auto"/>
        <w:rPr>
          <w:sz w:val="26"/>
          <w:szCs w:val="26"/>
        </w:rPr>
      </w:pPr>
      <w:r w:rsidRPr="00957A59">
        <w:rPr>
          <w:sz w:val="26"/>
          <w:szCs w:val="26"/>
        </w:rPr>
        <w:t>в) пунктом 5 следующего содержания: «5. Утвердить распределение иных межбюджетных трансфертов бюджетам поселений на 202</w:t>
      </w:r>
      <w:r>
        <w:rPr>
          <w:sz w:val="26"/>
          <w:szCs w:val="26"/>
        </w:rPr>
        <w:t>4</w:t>
      </w:r>
      <w:r w:rsidRPr="00957A59">
        <w:rPr>
          <w:sz w:val="26"/>
          <w:szCs w:val="26"/>
        </w:rPr>
        <w:t xml:space="preserve"> год согласно </w:t>
      </w:r>
      <w:r w:rsidRPr="00957A59">
        <w:rPr>
          <w:b/>
          <w:sz w:val="26"/>
          <w:szCs w:val="26"/>
        </w:rPr>
        <w:t>приложению № 1</w:t>
      </w:r>
      <w:r w:rsidR="00FD5DC1">
        <w:rPr>
          <w:b/>
          <w:sz w:val="26"/>
          <w:szCs w:val="26"/>
        </w:rPr>
        <w:t>2</w:t>
      </w:r>
      <w:r w:rsidRPr="00957A59">
        <w:rPr>
          <w:sz w:val="26"/>
          <w:szCs w:val="26"/>
        </w:rPr>
        <w:t xml:space="preserve"> к настоящему Решению.»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4. Приложение № 1 «Прогноз поступлений налоговых и неналоговых доходов в районный бюджет</w:t>
      </w:r>
      <w:r>
        <w:rPr>
          <w:sz w:val="26"/>
          <w:szCs w:val="26"/>
          <w:lang w:eastAsia="ru-RU"/>
        </w:rPr>
        <w:t xml:space="preserve"> 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1 к настоящему Решению.</w:t>
      </w:r>
    </w:p>
    <w:p w:rsidR="00C949CC" w:rsidRDefault="00C949CC" w:rsidP="00C949CC">
      <w:pPr>
        <w:ind w:firstLine="708"/>
        <w:jc w:val="both"/>
      </w:pPr>
      <w:r>
        <w:rPr>
          <w:sz w:val="26"/>
          <w:szCs w:val="26"/>
        </w:rPr>
        <w:lastRenderedPageBreak/>
        <w:t xml:space="preserve">5. Приложение № 2 «Безвозмездные поступления в районный бюджет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2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 xml:space="preserve">6. Приложение № 3 «Распределение бюджетных ассигнований районного бюджета по разделам и подразделам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3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7. Приложение № 4 «</w:t>
      </w:r>
      <w:r>
        <w:rPr>
          <w:sz w:val="26"/>
          <w:szCs w:val="26"/>
          <w:lang w:eastAsia="ru-RU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4 к настоящему Решению.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 xml:space="preserve">8.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5 к настоящему Решению. </w:t>
      </w:r>
    </w:p>
    <w:p w:rsidR="00C949CC" w:rsidRPr="0015331F" w:rsidRDefault="00C949CC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Pr="0015331F">
        <w:rPr>
          <w:sz w:val="26"/>
          <w:szCs w:val="26"/>
        </w:rPr>
        <w:t xml:space="preserve"> приложение № 6 «Случаи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годов» согласно приложению № 6 к настоящему Реше</w:t>
      </w:r>
      <w:r>
        <w:rPr>
          <w:sz w:val="26"/>
          <w:szCs w:val="26"/>
        </w:rPr>
        <w:t>нию</w:t>
      </w:r>
      <w:r w:rsidRPr="0015331F">
        <w:rPr>
          <w:sz w:val="26"/>
          <w:szCs w:val="26"/>
        </w:rPr>
        <w:t>;</w:t>
      </w:r>
    </w:p>
    <w:p w:rsidR="00C949CC" w:rsidRDefault="00C949CC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 п</w:t>
      </w:r>
      <w:r w:rsidRPr="00B94340">
        <w:rPr>
          <w:sz w:val="26"/>
          <w:szCs w:val="26"/>
        </w:rPr>
        <w:t xml:space="preserve">риложение № </w:t>
      </w:r>
      <w:r>
        <w:rPr>
          <w:sz w:val="26"/>
          <w:szCs w:val="26"/>
        </w:rPr>
        <w:t>8</w:t>
      </w:r>
      <w:r w:rsidRPr="00B94340">
        <w:rPr>
          <w:sz w:val="26"/>
          <w:szCs w:val="26"/>
        </w:rPr>
        <w:t xml:space="preserve"> «Адресная инвестиционная программа Азовского немецкого национального муниципального района Омской области на 202</w:t>
      </w:r>
      <w:r>
        <w:rPr>
          <w:sz w:val="26"/>
          <w:szCs w:val="26"/>
        </w:rPr>
        <w:t>4</w:t>
      </w:r>
      <w:r w:rsidRPr="00B94340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5</w:t>
      </w:r>
      <w:r w:rsidRPr="00B94340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B94340">
        <w:rPr>
          <w:sz w:val="26"/>
          <w:szCs w:val="26"/>
        </w:rPr>
        <w:t xml:space="preserve"> годов» изложить в редакции согласно приложению № </w:t>
      </w:r>
      <w:r>
        <w:rPr>
          <w:sz w:val="26"/>
          <w:szCs w:val="26"/>
        </w:rPr>
        <w:t>7</w:t>
      </w:r>
      <w:r w:rsidRPr="00B94340">
        <w:rPr>
          <w:sz w:val="26"/>
          <w:szCs w:val="26"/>
        </w:rPr>
        <w:t xml:space="preserve"> к настоящему</w:t>
      </w:r>
      <w:r>
        <w:rPr>
          <w:sz w:val="26"/>
          <w:szCs w:val="26"/>
        </w:rPr>
        <w:t xml:space="preserve"> </w:t>
      </w:r>
      <w:r w:rsidRPr="0015331F">
        <w:rPr>
          <w:sz w:val="26"/>
          <w:szCs w:val="26"/>
        </w:rPr>
        <w:t>Реше</w:t>
      </w:r>
      <w:r>
        <w:rPr>
          <w:sz w:val="26"/>
          <w:szCs w:val="26"/>
        </w:rPr>
        <w:t>нию;</w:t>
      </w:r>
    </w:p>
    <w:p w:rsidR="00C949CC" w:rsidRPr="009A0CCB" w:rsidRDefault="00C949CC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11.</w:t>
      </w:r>
      <w:r w:rsidR="00FD5DC1">
        <w:rPr>
          <w:sz w:val="26"/>
          <w:szCs w:val="26"/>
        </w:rPr>
        <w:t xml:space="preserve"> приложение № 10</w:t>
      </w:r>
      <w:r w:rsidRPr="009A0CCB">
        <w:rPr>
          <w:sz w:val="26"/>
          <w:szCs w:val="26"/>
        </w:rPr>
        <w:t xml:space="preserve"> «Источники финансирования дефицита районного бюджета на 202</w:t>
      </w:r>
      <w:r>
        <w:rPr>
          <w:sz w:val="26"/>
          <w:szCs w:val="26"/>
        </w:rPr>
        <w:t>4</w:t>
      </w:r>
      <w:r w:rsidRPr="009A0CCB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5</w:t>
      </w:r>
      <w:r w:rsidRPr="009A0CCB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9A0CCB">
        <w:rPr>
          <w:sz w:val="26"/>
          <w:szCs w:val="26"/>
        </w:rPr>
        <w:t xml:space="preserve"> годов» изложить в редакции согласно приложению № </w:t>
      </w:r>
      <w:r>
        <w:rPr>
          <w:sz w:val="26"/>
          <w:szCs w:val="26"/>
        </w:rPr>
        <w:t>8</w:t>
      </w:r>
      <w:r w:rsidRPr="009A0CCB">
        <w:rPr>
          <w:sz w:val="26"/>
          <w:szCs w:val="26"/>
        </w:rPr>
        <w:t xml:space="preserve"> к настоящему </w:t>
      </w:r>
      <w:r w:rsidRPr="0015331F">
        <w:rPr>
          <w:sz w:val="26"/>
          <w:szCs w:val="26"/>
        </w:rPr>
        <w:t>Реше</w:t>
      </w:r>
      <w:r>
        <w:rPr>
          <w:sz w:val="26"/>
          <w:szCs w:val="26"/>
        </w:rPr>
        <w:t>нию;</w:t>
      </w:r>
    </w:p>
    <w:p w:rsidR="00C949CC" w:rsidRPr="009A0CCB" w:rsidRDefault="00C949CC" w:rsidP="00C949CC">
      <w:pPr>
        <w:pStyle w:val="a5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12.</w:t>
      </w:r>
      <w:r w:rsidRPr="009A0CCB">
        <w:rPr>
          <w:sz w:val="26"/>
          <w:szCs w:val="26"/>
        </w:rPr>
        <w:t xml:space="preserve"> приложение № 1</w:t>
      </w:r>
      <w:r w:rsidR="00FD5DC1">
        <w:rPr>
          <w:sz w:val="26"/>
          <w:szCs w:val="26"/>
        </w:rPr>
        <w:t>1</w:t>
      </w:r>
      <w:r w:rsidRPr="009A0CCB">
        <w:rPr>
          <w:sz w:val="26"/>
          <w:szCs w:val="26"/>
        </w:rPr>
        <w:t xml:space="preserve"> «Случаи и методика распределения иных межбюджетных трансфертов бюджетам поселений на 202</w:t>
      </w:r>
      <w:r>
        <w:rPr>
          <w:sz w:val="26"/>
          <w:szCs w:val="26"/>
        </w:rPr>
        <w:t>4</w:t>
      </w:r>
      <w:r w:rsidRPr="009A0CCB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5</w:t>
      </w:r>
      <w:r w:rsidRPr="009A0CCB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9A0CCB">
        <w:rPr>
          <w:sz w:val="26"/>
          <w:szCs w:val="26"/>
        </w:rPr>
        <w:t xml:space="preserve"> годов» изложить в </w:t>
      </w:r>
      <w:r>
        <w:rPr>
          <w:sz w:val="26"/>
          <w:szCs w:val="26"/>
        </w:rPr>
        <w:t>редакции согласно приложению № 9</w:t>
      </w:r>
      <w:r w:rsidRPr="009A0CCB">
        <w:rPr>
          <w:sz w:val="26"/>
          <w:szCs w:val="26"/>
        </w:rPr>
        <w:t xml:space="preserve"> к настоящему </w:t>
      </w:r>
      <w:r w:rsidRPr="0015331F">
        <w:rPr>
          <w:sz w:val="26"/>
          <w:szCs w:val="26"/>
        </w:rPr>
        <w:t>Реше</w:t>
      </w:r>
      <w:r>
        <w:rPr>
          <w:sz w:val="26"/>
          <w:szCs w:val="26"/>
        </w:rPr>
        <w:t>нию</w:t>
      </w:r>
      <w:r w:rsidRPr="009A0CCB">
        <w:rPr>
          <w:sz w:val="26"/>
          <w:szCs w:val="26"/>
        </w:rPr>
        <w:t>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13. Приложение № 1</w:t>
      </w:r>
      <w:r w:rsidR="00FD5DC1">
        <w:rPr>
          <w:sz w:val="26"/>
          <w:szCs w:val="26"/>
        </w:rPr>
        <w:t>2</w:t>
      </w:r>
      <w:r>
        <w:rPr>
          <w:sz w:val="26"/>
          <w:szCs w:val="26"/>
        </w:rPr>
        <w:t xml:space="preserve"> «Распределение иных межбюджетных трансфертов бюджетам поселений на 2024 год» изложить в редакции согласно приложению № 10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505C5">
      <w:r>
        <w:separator/>
      </w:r>
    </w:p>
  </w:endnote>
  <w:endnote w:type="continuationSeparator" w:id="0">
    <w:p w:rsidR="00000000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A505C5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A505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505C5">
      <w:r>
        <w:separator/>
      </w:r>
    </w:p>
  </w:footnote>
  <w:footnote w:type="continuationSeparator" w:id="0">
    <w:p w:rsidR="00000000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64584"/>
    <w:rsid w:val="00075D4A"/>
    <w:rsid w:val="000979F1"/>
    <w:rsid w:val="000B18E7"/>
    <w:rsid w:val="000B4EFB"/>
    <w:rsid w:val="000C2A68"/>
    <w:rsid w:val="000C5ACD"/>
    <w:rsid w:val="000D4AA9"/>
    <w:rsid w:val="000E0D65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68CF"/>
    <w:rsid w:val="00265080"/>
    <w:rsid w:val="0027325D"/>
    <w:rsid w:val="00277AC8"/>
    <w:rsid w:val="00282353"/>
    <w:rsid w:val="00282F8D"/>
    <w:rsid w:val="002914AE"/>
    <w:rsid w:val="00292921"/>
    <w:rsid w:val="002A3B3F"/>
    <w:rsid w:val="002B379F"/>
    <w:rsid w:val="002B5E26"/>
    <w:rsid w:val="002C0621"/>
    <w:rsid w:val="002C3BDE"/>
    <w:rsid w:val="002C50FD"/>
    <w:rsid w:val="0030418C"/>
    <w:rsid w:val="00324F46"/>
    <w:rsid w:val="00347436"/>
    <w:rsid w:val="00357054"/>
    <w:rsid w:val="0037495F"/>
    <w:rsid w:val="00387399"/>
    <w:rsid w:val="003967DC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FEE"/>
    <w:rsid w:val="004C74BB"/>
    <w:rsid w:val="004D1498"/>
    <w:rsid w:val="004D21AA"/>
    <w:rsid w:val="004D386A"/>
    <w:rsid w:val="004E40CC"/>
    <w:rsid w:val="004E54BE"/>
    <w:rsid w:val="004E6662"/>
    <w:rsid w:val="004E7489"/>
    <w:rsid w:val="004E7659"/>
    <w:rsid w:val="004E7762"/>
    <w:rsid w:val="00503EF1"/>
    <w:rsid w:val="005179CE"/>
    <w:rsid w:val="0052390D"/>
    <w:rsid w:val="005324C9"/>
    <w:rsid w:val="00543BA4"/>
    <w:rsid w:val="00554671"/>
    <w:rsid w:val="00564617"/>
    <w:rsid w:val="00567041"/>
    <w:rsid w:val="0057030A"/>
    <w:rsid w:val="0059082B"/>
    <w:rsid w:val="00590FCC"/>
    <w:rsid w:val="00591ACA"/>
    <w:rsid w:val="00595BB4"/>
    <w:rsid w:val="00597418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4E4E"/>
    <w:rsid w:val="006477FF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435D"/>
    <w:rsid w:val="007B2B94"/>
    <w:rsid w:val="007B2D46"/>
    <w:rsid w:val="007F1C71"/>
    <w:rsid w:val="0080506F"/>
    <w:rsid w:val="00812B4F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491D"/>
    <w:rsid w:val="008F63F1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B1545"/>
    <w:rsid w:val="009B257D"/>
    <w:rsid w:val="009C3B77"/>
    <w:rsid w:val="009E2306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64F2"/>
    <w:rsid w:val="00AB7642"/>
    <w:rsid w:val="00AC141F"/>
    <w:rsid w:val="00AD07A1"/>
    <w:rsid w:val="00AD4A2A"/>
    <w:rsid w:val="00AD7145"/>
    <w:rsid w:val="00AE1752"/>
    <w:rsid w:val="00AE7776"/>
    <w:rsid w:val="00AF2040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D2244"/>
    <w:rsid w:val="00BD42C1"/>
    <w:rsid w:val="00BE014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76CA"/>
    <w:rsid w:val="00C4781C"/>
    <w:rsid w:val="00C50470"/>
    <w:rsid w:val="00C64817"/>
    <w:rsid w:val="00C6689C"/>
    <w:rsid w:val="00C72E0A"/>
    <w:rsid w:val="00C748AF"/>
    <w:rsid w:val="00C80F6C"/>
    <w:rsid w:val="00C84F46"/>
    <w:rsid w:val="00C949CC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70885"/>
    <w:rsid w:val="00E7192F"/>
    <w:rsid w:val="00E73AA9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E2B6B"/>
    <w:rsid w:val="00EE3D20"/>
    <w:rsid w:val="00EF570E"/>
    <w:rsid w:val="00F06192"/>
    <w:rsid w:val="00F10AE4"/>
    <w:rsid w:val="00F11203"/>
    <w:rsid w:val="00F17B6E"/>
    <w:rsid w:val="00F23A5D"/>
    <w:rsid w:val="00F4074B"/>
    <w:rsid w:val="00F453C6"/>
    <w:rsid w:val="00F568D4"/>
    <w:rsid w:val="00F608A3"/>
    <w:rsid w:val="00F65D3B"/>
    <w:rsid w:val="00F67092"/>
    <w:rsid w:val="00F71A37"/>
    <w:rsid w:val="00F85BD1"/>
    <w:rsid w:val="00F86B53"/>
    <w:rsid w:val="00F946F2"/>
    <w:rsid w:val="00FA3842"/>
    <w:rsid w:val="00FB4088"/>
    <w:rsid w:val="00FC3F0A"/>
    <w:rsid w:val="00FD5DC1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9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3</cp:revision>
  <dcterms:created xsi:type="dcterms:W3CDTF">2024-02-29T10:22:00Z</dcterms:created>
  <dcterms:modified xsi:type="dcterms:W3CDTF">2024-02-29T11:26:00Z</dcterms:modified>
</cp:coreProperties>
</file>