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  <w:t xml:space="preserve">  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0D7BE4">
        <w:rPr>
          <w:szCs w:val="28"/>
        </w:rPr>
        <w:t>в редакции Решения от 28.02.2024 № 47-301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792 122 361,54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общий объем расходов районного бюджета в сумме 815 409 262,88 руб.;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0D7BE4" w:rsidRPr="000D7BE4" w:rsidRDefault="000D7BE4" w:rsidP="000D7BE4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23 286 901,34 рублей, или 28,6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4132F6" w:rsidRDefault="000D7BE4" w:rsidP="000D7BE4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4132F6" w:rsidRDefault="000D7BE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районного бюджета на 2025 год в сумме 636</w:t>
      </w:r>
      <w:r>
        <w:rPr>
          <w:sz w:val="28"/>
          <w:szCs w:val="28"/>
        </w:rPr>
        <w:t> 125 604</w:t>
      </w:r>
      <w:r>
        <w:rPr>
          <w:spacing w:val="-2"/>
          <w:sz w:val="28"/>
          <w:szCs w:val="28"/>
        </w:rPr>
        <w:t>,38 руб. и на 2026 год в сумме 637</w:t>
      </w:r>
      <w:r>
        <w:rPr>
          <w:sz w:val="28"/>
          <w:szCs w:val="28"/>
        </w:rPr>
        <w:t> 405 506</w:t>
      </w:r>
      <w:r>
        <w:rPr>
          <w:spacing w:val="-2"/>
          <w:sz w:val="28"/>
          <w:szCs w:val="28"/>
        </w:rPr>
        <w:t>,51 руб.;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общий объем расходов районного бюджета на 2026 год в сумме 636</w:t>
      </w:r>
      <w:r>
        <w:rPr>
          <w:sz w:val="28"/>
          <w:szCs w:val="28"/>
        </w:rPr>
        <w:t> 125 604</w:t>
      </w:r>
      <w:r>
        <w:rPr>
          <w:spacing w:val="-2"/>
          <w:sz w:val="28"/>
          <w:szCs w:val="28"/>
        </w:rPr>
        <w:t>,38 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>,47 руб., и на 2026 год в сумме 637</w:t>
      </w:r>
      <w:r>
        <w:rPr>
          <w:sz w:val="28"/>
          <w:szCs w:val="28"/>
        </w:rPr>
        <w:t> 405 506</w:t>
      </w:r>
      <w:r>
        <w:rPr>
          <w:spacing w:val="-2"/>
          <w:sz w:val="28"/>
          <w:szCs w:val="28"/>
        </w:rPr>
        <w:t>,51 руб., в том числе условно утвержденные расходы в сумме 13</w:t>
      </w:r>
      <w:r>
        <w:rPr>
          <w:sz w:val="28"/>
          <w:szCs w:val="28"/>
        </w:rPr>
        <w:t> 956 602</w:t>
      </w:r>
      <w:r w:rsidR="007E586A">
        <w:rPr>
          <w:spacing w:val="-2"/>
          <w:sz w:val="28"/>
          <w:szCs w:val="28"/>
        </w:rPr>
        <w:t>,44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12 835 694,48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 объем бюджетных ассигнований дорожного фонда Азовского немецкого национального муниципального района Омской области на 2024 год в размере 4 260 615,84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lastRenderedPageBreak/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</w:t>
      </w:r>
      <w:r>
        <w:rPr>
          <w:sz w:val="28"/>
          <w:szCs w:val="28"/>
        </w:rPr>
        <w:lastRenderedPageBreak/>
        <w:t>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 в порядке, установленном нормативными </w:t>
      </w:r>
      <w:r>
        <w:rPr>
          <w:sz w:val="28"/>
          <w:szCs w:val="28"/>
        </w:rPr>
        <w:lastRenderedPageBreak/>
        <w:t>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2 000 000,00 руб., на 2025 год в размере 0,00 руб., на 2026 год в размере 0,00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</w:t>
      </w:r>
      <w:r>
        <w:rPr>
          <w:szCs w:val="28"/>
        </w:rPr>
        <w:lastRenderedPageBreak/>
        <w:t>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7E586A">
        <w:rPr>
          <w:szCs w:val="28"/>
        </w:rPr>
        <w:t>515</w:t>
      </w:r>
      <w:r>
        <w:t> </w:t>
      </w:r>
      <w:r w:rsidR="007E586A">
        <w:t>233</w:t>
      </w:r>
      <w:r>
        <w:t> </w:t>
      </w:r>
      <w:r w:rsidR="007E586A">
        <w:t>700</w:t>
      </w:r>
      <w:r>
        <w:t>,</w:t>
      </w:r>
      <w:r w:rsidR="007E586A">
        <w:t>01</w:t>
      </w:r>
      <w:r>
        <w:t> </w:t>
      </w:r>
      <w:r>
        <w:rPr>
          <w:szCs w:val="28"/>
        </w:rPr>
        <w:t xml:space="preserve">руб., в 2025 году в сумме </w:t>
      </w:r>
      <w:r>
        <w:t>3</w:t>
      </w:r>
      <w:r w:rsidR="007E586A">
        <w:t>9</w:t>
      </w:r>
      <w:r>
        <w:t>3 </w:t>
      </w:r>
      <w:r w:rsidR="007E586A">
        <w:t>054</w:t>
      </w:r>
      <w:r>
        <w:t> </w:t>
      </w:r>
      <w:r w:rsidR="007E586A">
        <w:t>592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>
        <w:t>3</w:t>
      </w:r>
      <w:r w:rsidR="007E586A">
        <w:t>77</w:t>
      </w:r>
      <w:r>
        <w:t> </w:t>
      </w:r>
      <w:r w:rsidR="007E586A">
        <w:t>092</w:t>
      </w:r>
      <w:r>
        <w:t> </w:t>
      </w:r>
      <w:r w:rsidR="007E586A">
        <w:t>694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>
        <w:rPr>
          <w:szCs w:val="28"/>
        </w:rPr>
        <w:lastRenderedPageBreak/>
        <w:t>4</w:t>
      </w:r>
      <w:r w:rsidR="007E586A">
        <w:rPr>
          <w:szCs w:val="28"/>
        </w:rPr>
        <w:t>9</w:t>
      </w:r>
      <w:r>
        <w:rPr>
          <w:szCs w:val="28"/>
        </w:rPr>
        <w:t> </w:t>
      </w:r>
      <w:r w:rsidR="007E586A">
        <w:rPr>
          <w:szCs w:val="28"/>
        </w:rPr>
        <w:t>693</w:t>
      </w:r>
      <w:r>
        <w:rPr>
          <w:szCs w:val="28"/>
        </w:rPr>
        <w:t> </w:t>
      </w:r>
      <w:r w:rsidR="007E586A">
        <w:rPr>
          <w:szCs w:val="28"/>
        </w:rPr>
        <w:t>8</w:t>
      </w:r>
      <w:r>
        <w:rPr>
          <w:szCs w:val="28"/>
        </w:rPr>
        <w:t>24,00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3. Утвердить объем иных межбюджетных трансфертов бюджетам поселений на 2024 год в сумме 9 157 300,00 руб., на 2025 год в сумме 0,00 руб. и на 2026 год в сумме 0,00 руб.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культуры.»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lastRenderedPageBreak/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lastRenderedPageBreak/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</w:t>
      </w:r>
      <w:r>
        <w:rPr>
          <w:sz w:val="28"/>
          <w:szCs w:val="28"/>
        </w:rPr>
        <w:lastRenderedPageBreak/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____________Д.И. Дизер</w:t>
            </w:r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E06D14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D7BE4"/>
    <w:rsid w:val="004132F6"/>
    <w:rsid w:val="007E586A"/>
    <w:rsid w:val="00B9364C"/>
    <w:rsid w:val="00E0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4FF9E-8806-48EC-B465-B997C456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3903</Words>
  <Characters>22253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4</cp:revision>
  <cp:lastPrinted>2023-12-14T14:27:00Z</cp:lastPrinted>
  <dcterms:created xsi:type="dcterms:W3CDTF">2024-03-04T10:35:00Z</dcterms:created>
  <dcterms:modified xsi:type="dcterms:W3CDTF">2024-03-04T11:25:00Z</dcterms:modified>
  <dc:language>ru-RU</dc:language>
</cp:coreProperties>
</file>