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8F61D8">
        <w:rPr>
          <w:sz w:val="28"/>
          <w:szCs w:val="28"/>
        </w:rPr>
        <w:t>751</w:t>
      </w:r>
      <w:r w:rsidR="008D6C5C" w:rsidRPr="00423988">
        <w:rPr>
          <w:sz w:val="28"/>
          <w:szCs w:val="28"/>
        </w:rPr>
        <w:t> </w:t>
      </w:r>
      <w:r w:rsidR="008F61D8">
        <w:rPr>
          <w:sz w:val="28"/>
          <w:szCs w:val="28"/>
        </w:rPr>
        <w:t>303</w:t>
      </w:r>
      <w:r w:rsidR="008D6C5C" w:rsidRPr="00423988">
        <w:rPr>
          <w:sz w:val="28"/>
          <w:szCs w:val="28"/>
        </w:rPr>
        <w:t> </w:t>
      </w:r>
      <w:r w:rsidR="008F61D8">
        <w:rPr>
          <w:sz w:val="28"/>
          <w:szCs w:val="28"/>
        </w:rPr>
        <w:t>803</w:t>
      </w:r>
      <w:r w:rsidR="008D6C5C" w:rsidRPr="00423988">
        <w:rPr>
          <w:sz w:val="28"/>
          <w:szCs w:val="28"/>
        </w:rPr>
        <w:t>,</w:t>
      </w:r>
      <w:r w:rsidR="008F61D8">
        <w:rPr>
          <w:sz w:val="28"/>
          <w:szCs w:val="28"/>
        </w:rPr>
        <w:t>6</w:t>
      </w:r>
      <w:r w:rsidR="007171A0" w:rsidRPr="00423988">
        <w:rPr>
          <w:sz w:val="28"/>
          <w:szCs w:val="28"/>
        </w:rPr>
        <w:t>1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8F61D8">
        <w:rPr>
          <w:szCs w:val="28"/>
        </w:rPr>
        <w:t>790</w:t>
      </w:r>
      <w:r w:rsidR="007171A0" w:rsidRPr="00423988">
        <w:rPr>
          <w:szCs w:val="28"/>
        </w:rPr>
        <w:t> </w:t>
      </w:r>
      <w:r w:rsidR="008F61D8">
        <w:rPr>
          <w:szCs w:val="28"/>
        </w:rPr>
        <w:t>300</w:t>
      </w:r>
      <w:r w:rsidR="007171A0" w:rsidRPr="00423988">
        <w:rPr>
          <w:szCs w:val="28"/>
        </w:rPr>
        <w:t> </w:t>
      </w:r>
      <w:r w:rsidR="008F61D8">
        <w:rPr>
          <w:szCs w:val="28"/>
        </w:rPr>
        <w:t>317</w:t>
      </w:r>
      <w:r w:rsidR="007171A0" w:rsidRPr="00423988">
        <w:rPr>
          <w:szCs w:val="28"/>
        </w:rPr>
        <w:t>,</w:t>
      </w:r>
      <w:r w:rsidR="008F61D8">
        <w:rPr>
          <w:szCs w:val="28"/>
        </w:rPr>
        <w:t>74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8F61D8" w:rsidRPr="008F61D8">
        <w:rPr>
          <w:sz w:val="28"/>
          <w:szCs w:val="26"/>
        </w:rPr>
        <w:t>38</w:t>
      </w:r>
      <w:r w:rsidR="00DB1A0D" w:rsidRPr="008F61D8">
        <w:rPr>
          <w:sz w:val="28"/>
          <w:szCs w:val="26"/>
        </w:rPr>
        <w:t> </w:t>
      </w:r>
      <w:r w:rsidR="008F61D8" w:rsidRPr="008F61D8">
        <w:rPr>
          <w:sz w:val="28"/>
          <w:szCs w:val="26"/>
        </w:rPr>
        <w:t>996</w:t>
      </w:r>
      <w:r w:rsidR="00DB1A0D" w:rsidRPr="008F61D8">
        <w:rPr>
          <w:sz w:val="28"/>
          <w:szCs w:val="26"/>
        </w:rPr>
        <w:t> </w:t>
      </w:r>
      <w:r w:rsidR="008F61D8" w:rsidRPr="008F61D8">
        <w:rPr>
          <w:sz w:val="28"/>
          <w:szCs w:val="26"/>
        </w:rPr>
        <w:t>514</w:t>
      </w:r>
      <w:r w:rsidR="00DB1A0D" w:rsidRPr="008F61D8">
        <w:rPr>
          <w:sz w:val="28"/>
          <w:szCs w:val="26"/>
        </w:rPr>
        <w:t>,</w:t>
      </w:r>
      <w:r w:rsidR="008F61D8" w:rsidRPr="008F61D8">
        <w:rPr>
          <w:sz w:val="28"/>
          <w:szCs w:val="26"/>
        </w:rPr>
        <w:t>13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8F61D8">
        <w:rPr>
          <w:sz w:val="28"/>
          <w:szCs w:val="28"/>
        </w:rPr>
        <w:t>или 4</w:t>
      </w:r>
      <w:r w:rsidR="008F61D8">
        <w:rPr>
          <w:sz w:val="28"/>
          <w:szCs w:val="28"/>
        </w:rPr>
        <w:t>4,</w:t>
      </w:r>
      <w:r w:rsidR="008F61D8">
        <w:rPr>
          <w:sz w:val="28"/>
          <w:szCs w:val="28"/>
        </w:rPr>
        <w:t>7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8F61D8" w:rsidP="00423988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Pr="008F61D8">
        <w:rPr>
          <w:sz w:val="22"/>
        </w:rPr>
        <w:t>от 29</w:t>
      </w:r>
      <w:r w:rsidRPr="008F61D8">
        <w:rPr>
          <w:sz w:val="22"/>
        </w:rPr>
        <w:t>.0</w:t>
      </w:r>
      <w:r w:rsidRPr="008F61D8">
        <w:rPr>
          <w:sz w:val="22"/>
        </w:rPr>
        <w:t>3.2023 № 35</w:t>
      </w:r>
      <w:r w:rsidRPr="008F61D8">
        <w:rPr>
          <w:sz w:val="22"/>
        </w:rPr>
        <w:t>-</w:t>
      </w:r>
      <w:r w:rsidRPr="008F61D8">
        <w:rPr>
          <w:sz w:val="22"/>
        </w:rPr>
        <w:t>234</w:t>
      </w:r>
      <w:r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9A56DD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5824F6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5824F6" w:rsidRPr="00423988">
        <w:rPr>
          <w:spacing w:val="-2"/>
          <w:sz w:val="28"/>
          <w:szCs w:val="28"/>
        </w:rPr>
        <w:t xml:space="preserve">,10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5824F6" w:rsidP="005824F6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29.03.2023 № 35-234)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5824F6">
        <w:rPr>
          <w:szCs w:val="28"/>
        </w:rPr>
        <w:t>553</w:t>
      </w:r>
      <w:r w:rsidR="009120CA" w:rsidRPr="00423988">
        <w:rPr>
          <w:szCs w:val="28"/>
        </w:rPr>
        <w:t> </w:t>
      </w:r>
      <w:r w:rsidR="00522F42" w:rsidRPr="00423988">
        <w:rPr>
          <w:szCs w:val="28"/>
        </w:rPr>
        <w:t>5</w:t>
      </w:r>
      <w:r w:rsidR="00DB1A0D">
        <w:rPr>
          <w:szCs w:val="28"/>
        </w:rPr>
        <w:t>5</w:t>
      </w:r>
      <w:r w:rsidR="00522F42" w:rsidRPr="00423988">
        <w:rPr>
          <w:szCs w:val="28"/>
        </w:rPr>
        <w:t>8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DB1A0D">
        <w:rPr>
          <w:szCs w:val="28"/>
        </w:rPr>
        <w:t>4</w:t>
      </w:r>
      <w:r w:rsidR="00D3569E" w:rsidRPr="00423988">
        <w:rPr>
          <w:szCs w:val="28"/>
        </w:rPr>
        <w:t> </w:t>
      </w:r>
      <w:r w:rsidR="005824F6">
        <w:rPr>
          <w:szCs w:val="28"/>
        </w:rPr>
        <w:t>722</w:t>
      </w:r>
      <w:r w:rsidR="00D3569E" w:rsidRPr="00423988">
        <w:rPr>
          <w:szCs w:val="28"/>
        </w:rPr>
        <w:t> </w:t>
      </w:r>
      <w:r w:rsidR="00DB1A0D">
        <w:rPr>
          <w:szCs w:val="28"/>
        </w:rPr>
        <w:t>3</w:t>
      </w:r>
      <w:r w:rsidR="005824F6">
        <w:rPr>
          <w:szCs w:val="28"/>
        </w:rPr>
        <w:t>32</w:t>
      </w:r>
      <w:r w:rsidR="00D3569E" w:rsidRPr="00423988">
        <w:rPr>
          <w:szCs w:val="28"/>
        </w:rPr>
        <w:t>,</w:t>
      </w:r>
      <w:r w:rsidR="00DB1A0D">
        <w:rPr>
          <w:szCs w:val="28"/>
        </w:rPr>
        <w:t>8</w:t>
      </w:r>
      <w:r w:rsidR="005824F6">
        <w:rPr>
          <w:szCs w:val="28"/>
        </w:rPr>
        <w:t>3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 и (или) субсидий на иные цели;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>нормативными правовыми актами 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Pr="00423988" w:rsidRDefault="00C731DF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60246" w:rsidRPr="00423988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 w:rsidR="006E3F4A" w:rsidRPr="00423988">
        <w:rPr>
          <w:szCs w:val="28"/>
        </w:rPr>
        <w:t>6 682 764</w:t>
      </w:r>
      <w:r w:rsidR="007F79DD" w:rsidRPr="00423988">
        <w:rPr>
          <w:szCs w:val="28"/>
        </w:rPr>
        <w:t>,</w:t>
      </w:r>
      <w:r w:rsidR="006E3F4A" w:rsidRPr="00423988">
        <w:rPr>
          <w:szCs w:val="28"/>
        </w:rPr>
        <w:t>95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</w:t>
      </w:r>
      <w:r w:rsidR="00570F1B" w:rsidRPr="00423988">
        <w:rPr>
          <w:szCs w:val="28"/>
        </w:rPr>
        <w:br/>
      </w:r>
      <w:r w:rsidR="004C4C65" w:rsidRPr="00423988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626FF">
        <w:rPr>
          <w:szCs w:val="28"/>
        </w:rPr>
        <w:t>505</w:t>
      </w:r>
      <w:r w:rsidR="00CE102D" w:rsidRPr="00423988">
        <w:rPr>
          <w:szCs w:val="28"/>
        </w:rPr>
        <w:t> </w:t>
      </w:r>
      <w:r w:rsidR="003626FF">
        <w:rPr>
          <w:szCs w:val="28"/>
        </w:rPr>
        <w:t>34</w:t>
      </w:r>
      <w:r w:rsidR="00DB1A0D">
        <w:rPr>
          <w:szCs w:val="28"/>
        </w:rPr>
        <w:t>3</w:t>
      </w:r>
      <w:r w:rsidR="00CE102D" w:rsidRPr="00423988">
        <w:rPr>
          <w:szCs w:val="28"/>
        </w:rPr>
        <w:t> </w:t>
      </w:r>
      <w:r w:rsidR="003626FF">
        <w:rPr>
          <w:szCs w:val="28"/>
        </w:rPr>
        <w:t>313</w:t>
      </w:r>
      <w:r w:rsidR="00CE102D" w:rsidRPr="00423988">
        <w:rPr>
          <w:szCs w:val="28"/>
        </w:rPr>
        <w:t>,</w:t>
      </w:r>
      <w:r w:rsidR="003626FF">
        <w:rPr>
          <w:szCs w:val="28"/>
        </w:rPr>
        <w:t>25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355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359</w:t>
      </w:r>
      <w:r w:rsidR="009F7359" w:rsidRPr="00423988">
        <w:rPr>
          <w:szCs w:val="28"/>
        </w:rPr>
        <w:t>,</w:t>
      </w:r>
      <w:r w:rsidR="003626FF">
        <w:rPr>
          <w:szCs w:val="28"/>
        </w:rPr>
        <w:t>06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557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</w:t>
      </w:r>
      <w:r w:rsidR="003626FF">
        <w:rPr>
          <w:szCs w:val="28"/>
        </w:rPr>
        <w:t>07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99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626FF">
        <w:rPr>
          <w:szCs w:val="28"/>
        </w:rPr>
        <w:t>45</w:t>
      </w:r>
      <w:r w:rsidR="008A3A0C" w:rsidRPr="00423988">
        <w:rPr>
          <w:szCs w:val="28"/>
        </w:rPr>
        <w:t> </w:t>
      </w:r>
      <w:r w:rsidR="003626FF">
        <w:rPr>
          <w:szCs w:val="28"/>
        </w:rPr>
        <w:t>159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406</w:t>
      </w:r>
      <w:r w:rsidR="008A3A0C" w:rsidRPr="00423988">
        <w:rPr>
          <w:szCs w:val="28"/>
        </w:rPr>
        <w:t>,</w:t>
      </w:r>
      <w:r w:rsidR="006E3F4A" w:rsidRPr="00423988">
        <w:rPr>
          <w:szCs w:val="28"/>
        </w:rPr>
        <w:t>00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 xml:space="preserve">3. Утвердить объем иных межбюджетных трансфертов бюджетам поселений на 2023 год в сумме </w:t>
      </w:r>
      <w:r w:rsidR="00DE221C">
        <w:rPr>
          <w:szCs w:val="26"/>
        </w:rPr>
        <w:t>9</w:t>
      </w:r>
      <w:r w:rsidRPr="00DB1A0D">
        <w:rPr>
          <w:szCs w:val="26"/>
        </w:rPr>
        <w:t> </w:t>
      </w:r>
      <w:r w:rsidR="00DE221C">
        <w:rPr>
          <w:szCs w:val="26"/>
        </w:rPr>
        <w:t>549</w:t>
      </w:r>
      <w:r w:rsidRPr="00DB1A0D">
        <w:rPr>
          <w:szCs w:val="26"/>
        </w:rPr>
        <w:t> 000,00 руб., на 2024 год в сумме 0,00 руб. и на 2025 год в сумме 0,00 руб.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lastRenderedPageBreak/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bookmarkStart w:id="0" w:name="_GoBack"/>
      <w:bookmarkEnd w:id="0"/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</w:t>
      </w:r>
      <w:r w:rsidR="00361940" w:rsidRPr="00423988">
        <w:rPr>
          <w:rStyle w:val="FontStyle12"/>
          <w:spacing w:val="-2"/>
          <w:sz w:val="28"/>
          <w:szCs w:val="28"/>
        </w:rPr>
        <w:lastRenderedPageBreak/>
        <w:t xml:space="preserve">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8961B3" w:rsidRPr="00423988" w:rsidRDefault="008961B3" w:rsidP="00423988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Омской области</w:t>
            </w:r>
          </w:p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536102" w:rsidRPr="00423988">
              <w:rPr>
                <w:sz w:val="28"/>
                <w:szCs w:val="28"/>
              </w:rPr>
              <w:t xml:space="preserve">Д.И. </w:t>
            </w:r>
            <w:proofErr w:type="spellStart"/>
            <w:r w:rsidR="00536102" w:rsidRPr="00423988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066">
          <w:rPr>
            <w:noProof/>
          </w:rPr>
          <w:t>12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1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8"/>
  </w:num>
  <w:num w:numId="8">
    <w:abstractNumId w:val="10"/>
  </w:num>
  <w:num w:numId="9">
    <w:abstractNumId w:val="6"/>
  </w:num>
  <w:num w:numId="10">
    <w:abstractNumId w:val="7"/>
  </w:num>
  <w:num w:numId="11">
    <w:abstractNumId w:val="14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19"/>
  </w:num>
  <w:num w:numId="18">
    <w:abstractNumId w:val="17"/>
  </w:num>
  <w:num w:numId="19">
    <w:abstractNumId w:val="20"/>
  </w:num>
  <w:num w:numId="20">
    <w:abstractNumId w:val="8"/>
  </w:num>
  <w:num w:numId="21">
    <w:abstractNumId w:val="21"/>
  </w:num>
  <w:num w:numId="22">
    <w:abstractNumId w:val="12"/>
  </w:num>
  <w:num w:numId="23">
    <w:abstractNumId w:val="15"/>
  </w:num>
  <w:num w:numId="24">
    <w:abstractNumId w:val="4"/>
  </w:num>
  <w:num w:numId="25">
    <w:abstractNumId w:val="9"/>
  </w:num>
  <w:num w:numId="26">
    <w:abstractNumId w:val="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449CE-587E-420D-B980-EE3700BA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13</Pages>
  <Words>4172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12</cp:revision>
  <cp:lastPrinted>2021-11-11T04:23:00Z</cp:lastPrinted>
  <dcterms:created xsi:type="dcterms:W3CDTF">2022-11-10T05:46:00Z</dcterms:created>
  <dcterms:modified xsi:type="dcterms:W3CDTF">2023-04-04T04:31:00Z</dcterms:modified>
</cp:coreProperties>
</file>