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  <w:bookmarkStart w:id="0" w:name="_GoBack"/>
      <w:bookmarkEnd w:id="0"/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FF7F0C" w:rsidRDefault="00FF7F0C" w:rsidP="00FF7F0C">
      <w:pPr>
        <w:rPr>
          <w:sz w:val="26"/>
          <w:szCs w:val="26"/>
        </w:rPr>
      </w:pP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 xml:space="preserve">(в редакции решения Совета от </w:t>
      </w:r>
      <w:r>
        <w:t>19</w:t>
      </w:r>
      <w:r>
        <w:t>.</w:t>
      </w:r>
      <w:r>
        <w:t>01</w:t>
      </w:r>
      <w:r>
        <w:t>.202</w:t>
      </w:r>
      <w:r>
        <w:t>2</w:t>
      </w:r>
      <w:r>
        <w:t xml:space="preserve"> № </w:t>
      </w:r>
      <w:r>
        <w:t>20</w:t>
      </w:r>
      <w:r>
        <w:t>-</w:t>
      </w:r>
      <w:r>
        <w:t>124</w:t>
      </w:r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C41B26" w:rsidRPr="00644441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1) </w:t>
      </w:r>
      <w:r w:rsidR="00C41B26" w:rsidRPr="00644441">
        <w:rPr>
          <w:szCs w:val="28"/>
        </w:rPr>
        <w:fldChar w:fldCharType="begin"/>
      </w:r>
      <w:r w:rsidR="00C41B26" w:rsidRPr="00644441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644441">
        <w:rPr>
          <w:szCs w:val="28"/>
        </w:rPr>
        <w:fldChar w:fldCharType="end"/>
      </w:r>
      <w:r w:rsidR="00C41B26" w:rsidRPr="00644441">
        <w:rPr>
          <w:szCs w:val="28"/>
        </w:rPr>
        <w:t xml:space="preserve">общий объем доходов районного бюджета в сумме </w:t>
      </w:r>
      <w:r w:rsidR="00D8061D">
        <w:rPr>
          <w:szCs w:val="28"/>
        </w:rPr>
        <w:t>5</w:t>
      </w:r>
      <w:r w:rsidR="00020DB2">
        <w:rPr>
          <w:szCs w:val="28"/>
        </w:rPr>
        <w:t>66</w:t>
      </w:r>
      <w:r w:rsidR="00D8061D">
        <w:rPr>
          <w:szCs w:val="28"/>
        </w:rPr>
        <w:t> </w:t>
      </w:r>
      <w:r w:rsidR="00020DB2">
        <w:rPr>
          <w:szCs w:val="28"/>
        </w:rPr>
        <w:t>793</w:t>
      </w:r>
      <w:r w:rsidR="00644441" w:rsidRPr="00644441">
        <w:rPr>
          <w:szCs w:val="28"/>
        </w:rPr>
        <w:t> </w:t>
      </w:r>
      <w:r w:rsidR="00020DB2">
        <w:rPr>
          <w:szCs w:val="28"/>
        </w:rPr>
        <w:t>320</w:t>
      </w:r>
      <w:r w:rsidR="00644441" w:rsidRPr="00644441">
        <w:rPr>
          <w:szCs w:val="28"/>
        </w:rPr>
        <w:t>,</w:t>
      </w:r>
      <w:r w:rsidR="00020DB2">
        <w:rPr>
          <w:szCs w:val="28"/>
        </w:rPr>
        <w:t>57</w:t>
      </w:r>
      <w:r w:rsidR="00570F1B" w:rsidRPr="00644441">
        <w:rPr>
          <w:szCs w:val="28"/>
        </w:rPr>
        <w:t> </w:t>
      </w:r>
      <w:r w:rsidR="00620006" w:rsidRPr="00644441">
        <w:rPr>
          <w:szCs w:val="28"/>
        </w:rPr>
        <w:t>руб.</w:t>
      </w:r>
      <w:r w:rsidR="00C41B26" w:rsidRPr="00644441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020DB2">
        <w:rPr>
          <w:szCs w:val="28"/>
        </w:rPr>
        <w:t>566 793</w:t>
      </w:r>
      <w:r w:rsidR="00020DB2" w:rsidRPr="00644441">
        <w:rPr>
          <w:szCs w:val="28"/>
        </w:rPr>
        <w:t> </w:t>
      </w:r>
      <w:r w:rsidR="00020DB2">
        <w:rPr>
          <w:szCs w:val="28"/>
        </w:rPr>
        <w:t>320</w:t>
      </w:r>
      <w:r w:rsidR="00020DB2" w:rsidRPr="00644441">
        <w:rPr>
          <w:szCs w:val="28"/>
        </w:rPr>
        <w:t>,</w:t>
      </w:r>
      <w:r w:rsidR="00020DB2">
        <w:rPr>
          <w:szCs w:val="28"/>
        </w:rPr>
        <w:t>57</w:t>
      </w:r>
      <w:r w:rsidR="00020DB2" w:rsidRPr="00644441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1D5074" w:rsidRPr="00C1034B">
        <w:rPr>
          <w:szCs w:val="28"/>
        </w:rPr>
        <w:t>Профицит</w:t>
      </w:r>
      <w:r w:rsidR="004B4133" w:rsidRPr="00C1034B">
        <w:rPr>
          <w:szCs w:val="28"/>
        </w:rPr>
        <w:t xml:space="preserve"> (дефицит)</w:t>
      </w:r>
      <w:r w:rsidR="001D5074" w:rsidRPr="00C1034B">
        <w:rPr>
          <w:szCs w:val="28"/>
        </w:rPr>
        <w:t xml:space="preserve"> районного бюджета в размере </w:t>
      </w:r>
      <w:r w:rsidR="00943B0B" w:rsidRPr="00C1034B">
        <w:rPr>
          <w:szCs w:val="28"/>
        </w:rPr>
        <w:t>0,00</w:t>
      </w:r>
      <w:r w:rsidR="001D5074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020DB2" w:rsidRDefault="00020DB2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</w:t>
      </w:r>
      <w:r>
        <w:t>.</w:t>
      </w:r>
      <w:r>
        <w:t xml:space="preserve"> решения Совета от </w:t>
      </w:r>
      <w:r>
        <w:t>19</w:t>
      </w:r>
      <w:r>
        <w:t>.</w:t>
      </w:r>
      <w:r>
        <w:t>01</w:t>
      </w:r>
      <w:r>
        <w:t>.202</w:t>
      </w:r>
      <w:r>
        <w:t>2 № 20</w:t>
      </w:r>
      <w:r>
        <w:t>-</w:t>
      </w:r>
      <w:r>
        <w:t>124</w:t>
      </w:r>
      <w:r>
        <w:t>)</w:t>
      </w:r>
    </w:p>
    <w:p w:rsidR="00C37395" w:rsidRPr="00C1034B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>2</w:t>
      </w:r>
      <w:r w:rsidR="00C37395" w:rsidRPr="00C1034B">
        <w:rPr>
          <w:spacing w:val="-2"/>
          <w:sz w:val="28"/>
          <w:szCs w:val="28"/>
        </w:rPr>
        <w:t>.</w:t>
      </w:r>
      <w:r w:rsidRPr="00C1034B">
        <w:rPr>
          <w:spacing w:val="-2"/>
          <w:sz w:val="28"/>
          <w:szCs w:val="28"/>
        </w:rPr>
        <w:t xml:space="preserve"> </w:t>
      </w:r>
      <w:r w:rsidR="00C37395" w:rsidRPr="00C1034B">
        <w:rPr>
          <w:spacing w:val="-2"/>
          <w:sz w:val="28"/>
          <w:szCs w:val="28"/>
        </w:rPr>
        <w:t xml:space="preserve">Утвердить основные характеристики </w:t>
      </w:r>
      <w:r w:rsidR="00C37395" w:rsidRPr="00C1034B">
        <w:rPr>
          <w:sz w:val="28"/>
          <w:szCs w:val="28"/>
        </w:rPr>
        <w:t>районного</w:t>
      </w:r>
      <w:r w:rsidR="00C37395" w:rsidRPr="00C1034B">
        <w:rPr>
          <w:spacing w:val="-2"/>
          <w:sz w:val="28"/>
          <w:szCs w:val="28"/>
        </w:rPr>
        <w:t xml:space="preserve"> бюджета на плановый период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1A6584" w:rsidRPr="00C1034B">
        <w:rPr>
          <w:spacing w:val="-2"/>
          <w:sz w:val="28"/>
          <w:szCs w:val="28"/>
        </w:rPr>
        <w:t xml:space="preserve"> и 202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годов:</w:t>
      </w:r>
    </w:p>
    <w:p w:rsidR="00C37395" w:rsidRPr="009A56DD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534</w:t>
      </w:r>
      <w:r w:rsidR="00D8061D" w:rsidRPr="00020DB2">
        <w:rPr>
          <w:sz w:val="28"/>
          <w:szCs w:val="28"/>
        </w:rPr>
        <w:t> </w:t>
      </w:r>
      <w:r w:rsidR="00020DB2" w:rsidRPr="00020DB2">
        <w:rPr>
          <w:sz w:val="28"/>
          <w:szCs w:val="28"/>
        </w:rPr>
        <w:t>448</w:t>
      </w:r>
      <w:r w:rsidR="00D8061D" w:rsidRPr="00020DB2">
        <w:rPr>
          <w:sz w:val="28"/>
          <w:szCs w:val="28"/>
        </w:rPr>
        <w:t> </w:t>
      </w:r>
      <w:r w:rsidR="00020DB2" w:rsidRPr="00020DB2">
        <w:rPr>
          <w:sz w:val="28"/>
          <w:szCs w:val="28"/>
        </w:rPr>
        <w:t>506</w:t>
      </w:r>
      <w:r w:rsidR="009A56DD" w:rsidRPr="00020DB2">
        <w:rPr>
          <w:spacing w:val="-2"/>
          <w:sz w:val="28"/>
          <w:szCs w:val="28"/>
        </w:rPr>
        <w:t>,</w:t>
      </w:r>
      <w:r w:rsidR="00020DB2" w:rsidRPr="00020DB2">
        <w:rPr>
          <w:spacing w:val="-2"/>
          <w:sz w:val="28"/>
          <w:szCs w:val="28"/>
        </w:rPr>
        <w:t>58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9A56DD">
        <w:rPr>
          <w:spacing w:val="-2"/>
          <w:sz w:val="28"/>
          <w:szCs w:val="28"/>
        </w:rPr>
        <w:t>468</w:t>
      </w:r>
      <w:r w:rsidR="00D8061D" w:rsidRPr="00644441">
        <w:rPr>
          <w:szCs w:val="28"/>
        </w:rPr>
        <w:t> </w:t>
      </w:r>
      <w:r w:rsidR="00D8061D">
        <w:rPr>
          <w:spacing w:val="-2"/>
          <w:sz w:val="28"/>
          <w:szCs w:val="28"/>
        </w:rPr>
        <w:t>671</w:t>
      </w:r>
      <w:r w:rsidR="00D8061D" w:rsidRPr="00644441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0</w:t>
      </w:r>
      <w:r w:rsidR="00D8061D">
        <w:rPr>
          <w:spacing w:val="-2"/>
          <w:sz w:val="28"/>
          <w:szCs w:val="28"/>
        </w:rPr>
        <w:t>3</w:t>
      </w:r>
      <w:r w:rsidR="009A56DD" w:rsidRPr="009A56DD">
        <w:rPr>
          <w:spacing w:val="-2"/>
          <w:sz w:val="28"/>
          <w:szCs w:val="28"/>
        </w:rPr>
        <w:t xml:space="preserve">3,20 </w:t>
      </w:r>
      <w:r w:rsidRPr="009A56DD">
        <w:rPr>
          <w:spacing w:val="-2"/>
          <w:sz w:val="28"/>
          <w:szCs w:val="28"/>
        </w:rPr>
        <w:t>руб.;</w:t>
      </w:r>
    </w:p>
    <w:p w:rsidR="00C37395" w:rsidRPr="00C1034B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534</w:t>
      </w:r>
      <w:r w:rsidR="00020DB2" w:rsidRPr="00020DB2">
        <w:rPr>
          <w:sz w:val="28"/>
          <w:szCs w:val="28"/>
        </w:rPr>
        <w:t> 448 506</w:t>
      </w:r>
      <w:r w:rsidR="00020DB2" w:rsidRPr="00020DB2">
        <w:rPr>
          <w:spacing w:val="-2"/>
          <w:sz w:val="28"/>
          <w:szCs w:val="28"/>
        </w:rPr>
        <w:t>,58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9A56DD" w:rsidRPr="009A56DD">
        <w:rPr>
          <w:spacing w:val="-2"/>
          <w:sz w:val="28"/>
          <w:szCs w:val="28"/>
        </w:rPr>
        <w:t>468</w:t>
      </w:r>
      <w:r w:rsidR="00D8061D">
        <w:rPr>
          <w:szCs w:val="28"/>
        </w:rPr>
        <w:t> 671</w:t>
      </w:r>
      <w:r w:rsidR="00D8061D" w:rsidRPr="00644441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0</w:t>
      </w:r>
      <w:r w:rsidR="00D8061D">
        <w:rPr>
          <w:spacing w:val="-2"/>
          <w:sz w:val="28"/>
          <w:szCs w:val="28"/>
        </w:rPr>
        <w:t>3</w:t>
      </w:r>
      <w:r w:rsidR="009A56DD" w:rsidRPr="009A56DD">
        <w:rPr>
          <w:spacing w:val="-2"/>
          <w:sz w:val="28"/>
          <w:szCs w:val="28"/>
        </w:rPr>
        <w:t xml:space="preserve">3,20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>
        <w:rPr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020DB2" w:rsidRPr="00C1034B" w:rsidRDefault="00020DB2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19.01.2022 № 20-124)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Pr="00C1034B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020DB2" w:rsidRPr="00020DB2" w:rsidRDefault="00020DB2" w:rsidP="00DC522B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 w:rsidR="009120CA">
        <w:rPr>
          <w:szCs w:val="28"/>
        </w:rPr>
        <w:t>10 267 616,43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8061D">
        <w:rPr>
          <w:szCs w:val="28"/>
        </w:rPr>
        <w:t>2</w:t>
      </w:r>
      <w:r w:rsidR="00D3569E">
        <w:rPr>
          <w:szCs w:val="28"/>
        </w:rPr>
        <w:t> </w:t>
      </w:r>
      <w:r w:rsidR="00D8061D">
        <w:rPr>
          <w:szCs w:val="28"/>
        </w:rPr>
        <w:t>455</w:t>
      </w:r>
      <w:r w:rsidR="00D3569E">
        <w:rPr>
          <w:szCs w:val="28"/>
        </w:rPr>
        <w:t> </w:t>
      </w:r>
      <w:r w:rsidR="00D8061D">
        <w:rPr>
          <w:szCs w:val="28"/>
        </w:rPr>
        <w:t>080</w:t>
      </w:r>
      <w:r w:rsidR="00D3569E">
        <w:rPr>
          <w:szCs w:val="28"/>
        </w:rPr>
        <w:t>,00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020DB2" w:rsidRPr="00020DB2" w:rsidRDefault="00020DB2" w:rsidP="002A6769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020DB2" w:rsidRPr="00020DB2" w:rsidRDefault="00020DB2" w:rsidP="00020DB2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020DB2" w:rsidRPr="00020DB2" w:rsidRDefault="00020DB2" w:rsidP="00020DB2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C1034B">
        <w:rPr>
          <w:sz w:val="28"/>
          <w:szCs w:val="28"/>
        </w:rPr>
        <w:t>муниципального</w:t>
      </w:r>
      <w:r w:rsidRPr="00C1034B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C1034B">
        <w:rPr>
          <w:sz w:val="28"/>
          <w:szCs w:val="28"/>
        </w:rPr>
        <w:t>муниципальн</w:t>
      </w:r>
      <w:r w:rsidR="00E951A4" w:rsidRPr="00C1034B">
        <w:rPr>
          <w:sz w:val="28"/>
          <w:szCs w:val="28"/>
        </w:rPr>
        <w:t>ых</w:t>
      </w:r>
      <w:r w:rsidRPr="00C1034B">
        <w:rPr>
          <w:sz w:val="28"/>
          <w:szCs w:val="28"/>
        </w:rPr>
        <w:t xml:space="preserve"> программ</w:t>
      </w:r>
      <w:r w:rsidR="002726AC"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E16F6A" w:rsidRPr="00C1034B">
        <w:rPr>
          <w:sz w:val="28"/>
          <w:szCs w:val="28"/>
        </w:rPr>
        <w:t>, в том числе</w:t>
      </w:r>
      <w:r w:rsidRPr="00C1034B">
        <w:rPr>
          <w:sz w:val="28"/>
          <w:szCs w:val="28"/>
        </w:rPr>
        <w:t xml:space="preserve"> на основании внесенных в н</w:t>
      </w:r>
      <w:r w:rsidR="00E951A4" w:rsidRPr="00C1034B">
        <w:rPr>
          <w:sz w:val="28"/>
          <w:szCs w:val="28"/>
        </w:rPr>
        <w:t>их</w:t>
      </w:r>
      <w:r w:rsidRPr="00C1034B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8B017D" w:rsidRPr="00C1034B" w:rsidRDefault="008B017D" w:rsidP="00C62E41">
      <w:pPr>
        <w:pStyle w:val="ad"/>
        <w:spacing w:line="240" w:lineRule="auto"/>
        <w:rPr>
          <w:szCs w:val="28"/>
        </w:rPr>
      </w:pP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 w:rsidR="005D13BF">
        <w:rPr>
          <w:szCs w:val="28"/>
        </w:rPr>
        <w:t>300</w:t>
      </w:r>
      <w:r w:rsidR="007F79DD" w:rsidRPr="00C1034B">
        <w:rPr>
          <w:szCs w:val="28"/>
        </w:rPr>
        <w:t> </w:t>
      </w:r>
      <w:r w:rsidR="00F229CB" w:rsidRPr="00C1034B">
        <w:rPr>
          <w:szCs w:val="28"/>
        </w:rPr>
        <w:t>000</w:t>
      </w:r>
      <w:r w:rsidR="007F79DD" w:rsidRPr="00C1034B">
        <w:rPr>
          <w:szCs w:val="28"/>
        </w:rPr>
        <w:t>,</w:t>
      </w:r>
      <w:r w:rsidR="00F229CB" w:rsidRPr="00C1034B">
        <w:rPr>
          <w:szCs w:val="28"/>
        </w:rPr>
        <w:t>00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020DB2" w:rsidRPr="00020DB2" w:rsidRDefault="00020DB2" w:rsidP="00020DB2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CE102D">
        <w:rPr>
          <w:szCs w:val="28"/>
        </w:rPr>
        <w:t>3</w:t>
      </w:r>
      <w:r w:rsidR="00020DB2">
        <w:rPr>
          <w:szCs w:val="28"/>
        </w:rPr>
        <w:t>80</w:t>
      </w:r>
      <w:r w:rsidR="00CE102D">
        <w:rPr>
          <w:szCs w:val="28"/>
        </w:rPr>
        <w:t> </w:t>
      </w:r>
      <w:r w:rsidR="00020DB2">
        <w:rPr>
          <w:szCs w:val="28"/>
        </w:rPr>
        <w:t>345</w:t>
      </w:r>
      <w:r w:rsidR="00CE102D">
        <w:rPr>
          <w:szCs w:val="28"/>
        </w:rPr>
        <w:t> </w:t>
      </w:r>
      <w:r w:rsidR="00020DB2">
        <w:rPr>
          <w:szCs w:val="28"/>
        </w:rPr>
        <w:t>541</w:t>
      </w:r>
      <w:r w:rsidR="00CE102D">
        <w:rPr>
          <w:szCs w:val="28"/>
        </w:rPr>
        <w:t>,</w:t>
      </w:r>
      <w:r w:rsidR="00020DB2">
        <w:rPr>
          <w:szCs w:val="28"/>
        </w:rPr>
        <w:t>07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020DB2">
        <w:rPr>
          <w:szCs w:val="28"/>
        </w:rPr>
        <w:t>44</w:t>
      </w:r>
      <w:r w:rsidR="009F7359">
        <w:rPr>
          <w:szCs w:val="28"/>
        </w:rPr>
        <w:t> </w:t>
      </w:r>
      <w:r w:rsidR="00020DB2">
        <w:rPr>
          <w:szCs w:val="28"/>
        </w:rPr>
        <w:t>740</w:t>
      </w:r>
      <w:r w:rsidR="009F7359">
        <w:rPr>
          <w:szCs w:val="28"/>
        </w:rPr>
        <w:t> </w:t>
      </w:r>
      <w:r w:rsidR="00020DB2">
        <w:rPr>
          <w:szCs w:val="28"/>
        </w:rPr>
        <w:t>757</w:t>
      </w:r>
      <w:r w:rsidR="009F7359">
        <w:rPr>
          <w:szCs w:val="28"/>
        </w:rPr>
        <w:t>,</w:t>
      </w:r>
      <w:r w:rsidR="00020DB2">
        <w:rPr>
          <w:szCs w:val="28"/>
        </w:rPr>
        <w:t>08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9F7359">
        <w:rPr>
          <w:szCs w:val="28"/>
        </w:rPr>
        <w:t>290 604 768,70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020DB2">
        <w:rPr>
          <w:szCs w:val="28"/>
        </w:rPr>
        <w:t>7</w:t>
      </w:r>
      <w:r w:rsidR="008A3A0C" w:rsidRPr="008A3A0C">
        <w:rPr>
          <w:szCs w:val="28"/>
        </w:rPr>
        <w:t> </w:t>
      </w:r>
      <w:r w:rsidR="00020DB2">
        <w:rPr>
          <w:szCs w:val="28"/>
        </w:rPr>
        <w:t>881</w:t>
      </w:r>
      <w:r w:rsidR="008A3A0C" w:rsidRPr="008A3A0C">
        <w:rPr>
          <w:szCs w:val="28"/>
        </w:rPr>
        <w:t> </w:t>
      </w:r>
      <w:r w:rsidR="00020DB2">
        <w:rPr>
          <w:szCs w:val="28"/>
        </w:rPr>
        <w:t>065</w:t>
      </w:r>
      <w:r w:rsidR="008A3A0C" w:rsidRPr="008A3A0C">
        <w:rPr>
          <w:szCs w:val="28"/>
        </w:rPr>
        <w:t>,</w:t>
      </w:r>
      <w:r w:rsidR="00020DB2">
        <w:rPr>
          <w:szCs w:val="28"/>
        </w:rPr>
        <w:t>40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020DB2" w:rsidRPr="00020DB2" w:rsidRDefault="00020DB2" w:rsidP="00020DB2">
      <w:pPr>
        <w:pStyle w:val="ad"/>
        <w:spacing w:line="276" w:lineRule="auto"/>
        <w:rPr>
          <w:sz w:val="24"/>
          <w:szCs w:val="28"/>
        </w:rPr>
      </w:pPr>
      <w:r w:rsidRPr="00020DB2">
        <w:rPr>
          <w:sz w:val="24"/>
        </w:rPr>
        <w:t>(в ред. решения Совета от 19.01.2022 № 20-124)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</w:pPr>
      <w:r w:rsidRPr="00A41837">
        <w:rPr>
          <w:szCs w:val="28"/>
        </w:rPr>
        <w:t>3. Утвердить объем иных межбюджетных трансфертов бюджетам поселений на 2022 год в сумме 5 665 702,40 руб., на 2023 год в сумме 0,00 руб. и на 2024 год в сумме 0,00 руб.;</w:t>
      </w:r>
    </w:p>
    <w:p w:rsidR="00A41837" w:rsidRDefault="00A41837" w:rsidP="00A41837">
      <w:pPr>
        <w:pStyle w:val="ad"/>
        <w:spacing w:line="276" w:lineRule="auto"/>
        <w:rPr>
          <w:sz w:val="24"/>
          <w:szCs w:val="28"/>
        </w:rPr>
      </w:pPr>
      <w:r>
        <w:rPr>
          <w:sz w:val="24"/>
        </w:rPr>
        <w:t>(в ред. решения Совета от 19.01.2022 № 20-124)</w:t>
      </w:r>
    </w:p>
    <w:p w:rsidR="00020DB2" w:rsidRDefault="00020DB2" w:rsidP="00A4183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A41837">
        <w:rPr>
          <w:sz w:val="28"/>
          <w:szCs w:val="28"/>
        </w:rPr>
        <w:t xml:space="preserve">4. Случаи, условия и порядок предоставления иных межбюджетных трансфертов </w:t>
      </w:r>
      <w:r w:rsidRPr="00A41837">
        <w:rPr>
          <w:sz w:val="28"/>
          <w:szCs w:val="28"/>
          <w:lang w:eastAsia="en-US"/>
        </w:rPr>
        <w:t>устанавливаются правовым актом представительного органа муниципального района.</w:t>
      </w:r>
    </w:p>
    <w:p w:rsidR="00A41837" w:rsidRDefault="00A41837" w:rsidP="00A41837">
      <w:pPr>
        <w:pStyle w:val="ad"/>
        <w:spacing w:line="276" w:lineRule="auto"/>
        <w:rPr>
          <w:sz w:val="24"/>
          <w:szCs w:val="28"/>
        </w:rPr>
      </w:pPr>
      <w:r>
        <w:rPr>
          <w:sz w:val="24"/>
        </w:rPr>
        <w:t>(в ред. решения Совета от 19.01.2022 № 20-124)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>5. Утвердить распределение иных межбюджетных трансфертов бюджетам поселений на 2022 год согласно приложению № 10 к настоящему Решению.»</w:t>
      </w:r>
    </w:p>
    <w:p w:rsidR="00A41837" w:rsidRDefault="00A41837" w:rsidP="00A41837">
      <w:pPr>
        <w:pStyle w:val="ad"/>
        <w:spacing w:line="276" w:lineRule="auto"/>
        <w:rPr>
          <w:sz w:val="24"/>
          <w:szCs w:val="28"/>
        </w:rPr>
      </w:pPr>
      <w:r>
        <w:rPr>
          <w:sz w:val="24"/>
        </w:rPr>
        <w:t>(в ред. решения Совета от 19.01.2022 № 20-124)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A41837" w:rsidRPr="00A41837" w:rsidRDefault="00A41837" w:rsidP="00671C2F">
      <w:pPr>
        <w:pStyle w:val="ad"/>
        <w:spacing w:line="276" w:lineRule="auto"/>
        <w:rPr>
          <w:sz w:val="24"/>
          <w:szCs w:val="28"/>
        </w:rPr>
      </w:pPr>
      <w:r w:rsidRPr="00A41837">
        <w:rPr>
          <w:sz w:val="24"/>
        </w:rPr>
        <w:t>(в ред. решения Совета от 19.01.2022 № 20-124)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 xml:space="preserve">о приобретении учебного и иного оборудования, а </w:t>
      </w:r>
      <w:proofErr w:type="gramStart"/>
      <w:r w:rsidR="00C41B26" w:rsidRPr="00C1034B">
        <w:rPr>
          <w:szCs w:val="28"/>
        </w:rPr>
        <w:t>так же</w:t>
      </w:r>
      <w:proofErr w:type="gramEnd"/>
      <w:r w:rsidR="00C41B26" w:rsidRPr="00C1034B">
        <w:rPr>
          <w:szCs w:val="28"/>
        </w:rPr>
        <w:t xml:space="preserve">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>. 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C1034B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AC3E4C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Pr="00C1034B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3B5B25" w:rsidRPr="00C1034B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Опубликование настоящего решения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DC522B" w:rsidRPr="00C1034B" w:rsidRDefault="00DC522B" w:rsidP="000A529A">
      <w:pPr>
        <w:pStyle w:val="ad"/>
        <w:spacing w:line="240" w:lineRule="auto"/>
        <w:ind w:firstLine="0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C1034B">
      <w:footerReference w:type="even" r:id="rId14"/>
      <w:footerReference w:type="default" r:id="rId15"/>
      <w:pgSz w:w="11907" w:h="16840" w:code="9"/>
      <w:pgMar w:top="1105" w:right="1134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520241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837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2"/>
  </w:num>
  <w:num w:numId="8">
    <w:abstractNumId w:val="7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  <w:num w:numId="17">
    <w:abstractNumId w:val="13"/>
  </w:num>
  <w:num w:numId="18">
    <w:abstractNumId w:val="11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A2A9E"/>
    <w:rsid w:val="00CA314F"/>
    <w:rsid w:val="00CA4428"/>
    <w:rsid w:val="00CA4980"/>
    <w:rsid w:val="00CA56B5"/>
    <w:rsid w:val="00CB20BE"/>
    <w:rsid w:val="00CB64FA"/>
    <w:rsid w:val="00CB7B11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B26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ACEB1-6A7F-482B-8B75-73C1C821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12</Pages>
  <Words>3886</Words>
  <Characters>22155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38</cp:revision>
  <cp:lastPrinted>2021-11-11T04:23:00Z</cp:lastPrinted>
  <dcterms:created xsi:type="dcterms:W3CDTF">2020-11-05T05:19:00Z</dcterms:created>
  <dcterms:modified xsi:type="dcterms:W3CDTF">2022-01-26T04:15:00Z</dcterms:modified>
</cp:coreProperties>
</file>