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8B27DF" w:rsidP="00943B0B">
      <w:pPr>
        <w:jc w:val="center"/>
        <w:rPr>
          <w:sz w:val="28"/>
          <w:szCs w:val="28"/>
        </w:rPr>
      </w:pPr>
      <w:r>
        <w:t>(в редакции решений</w:t>
      </w:r>
      <w:r w:rsidR="00020DB2">
        <w:t xml:space="preserve">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r w:rsidR="00264DCD">
        <w:t>; от 24.08.2022 № 26-171</w:t>
      </w:r>
      <w:r w:rsidR="00465AF3">
        <w:t>; от 21.09.2022 № 27-184</w:t>
      </w:r>
      <w:r>
        <w:t>; от 26.10.2022 № 28-190</w:t>
      </w:r>
      <w:r w:rsidR="00F54B3D">
        <w:t>; от 24.11.2022. № 30-199</w:t>
      </w:r>
      <w:r w:rsidR="00F7676D">
        <w:t>; от 21.12.2022 № 31-209</w:t>
      </w:r>
      <w:r w:rsidR="00020DB2"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F54B3D">
        <w:rPr>
          <w:sz w:val="28"/>
          <w:szCs w:val="28"/>
        </w:rPr>
        <w:t xml:space="preserve"> </w:t>
      </w:r>
      <w:r w:rsidR="00196B66" w:rsidRPr="00196B66">
        <w:rPr>
          <w:sz w:val="28"/>
          <w:szCs w:val="28"/>
        </w:rPr>
        <w:t>802</w:t>
      </w:r>
      <w:r w:rsidR="008D6C5C">
        <w:rPr>
          <w:sz w:val="28"/>
          <w:szCs w:val="28"/>
        </w:rPr>
        <w:t> </w:t>
      </w:r>
      <w:r w:rsidR="00196B66" w:rsidRPr="00196B66">
        <w:rPr>
          <w:sz w:val="28"/>
          <w:szCs w:val="28"/>
        </w:rPr>
        <w:t>483</w:t>
      </w:r>
      <w:r w:rsidR="008D6C5C">
        <w:rPr>
          <w:sz w:val="28"/>
          <w:szCs w:val="28"/>
        </w:rPr>
        <w:t> </w:t>
      </w:r>
      <w:r w:rsidR="00196B66" w:rsidRPr="00196B66">
        <w:rPr>
          <w:sz w:val="28"/>
          <w:szCs w:val="28"/>
        </w:rPr>
        <w:t>337</w:t>
      </w:r>
      <w:r w:rsidR="008D6C5C">
        <w:rPr>
          <w:sz w:val="28"/>
          <w:szCs w:val="28"/>
        </w:rPr>
        <w:t>,</w:t>
      </w:r>
      <w:r w:rsidR="00196B66" w:rsidRPr="00196B66">
        <w:rPr>
          <w:sz w:val="28"/>
          <w:szCs w:val="28"/>
        </w:rPr>
        <w:t>18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196B66" w:rsidRPr="00196B66">
        <w:t>1</w:t>
      </w:r>
      <w:r>
        <w:t>.</w:t>
      </w:r>
      <w:r w:rsidR="00F54B3D">
        <w:t>1</w:t>
      </w:r>
      <w:r w:rsidR="00196B66" w:rsidRPr="00196B66">
        <w:t>2</w:t>
      </w:r>
      <w:r>
        <w:t xml:space="preserve">.2022 № </w:t>
      </w:r>
      <w:r w:rsidR="00F54B3D">
        <w:t>3</w:t>
      </w:r>
      <w:r w:rsidR="00196B66" w:rsidRPr="00196B66">
        <w:t>1</w:t>
      </w:r>
      <w:r>
        <w:t>-</w:t>
      </w:r>
      <w:r w:rsidR="00196B66" w:rsidRPr="00196B66">
        <w:t>20</w:t>
      </w:r>
      <w:r w:rsidR="00F54B3D">
        <w:t>9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196B66" w:rsidRPr="00196B66">
        <w:rPr>
          <w:szCs w:val="28"/>
        </w:rPr>
        <w:t>812</w:t>
      </w:r>
      <w:r w:rsidR="008D6C5C">
        <w:rPr>
          <w:szCs w:val="28"/>
        </w:rPr>
        <w:t> </w:t>
      </w:r>
      <w:r w:rsidR="00196B66" w:rsidRPr="00196B66">
        <w:rPr>
          <w:szCs w:val="28"/>
        </w:rPr>
        <w:t>943</w:t>
      </w:r>
      <w:r w:rsidR="008D6C5C">
        <w:rPr>
          <w:szCs w:val="28"/>
        </w:rPr>
        <w:t> </w:t>
      </w:r>
      <w:r w:rsidR="00196B66" w:rsidRPr="00196B66">
        <w:rPr>
          <w:szCs w:val="28"/>
        </w:rPr>
        <w:t>605</w:t>
      </w:r>
      <w:r w:rsidR="008D6C5C">
        <w:rPr>
          <w:szCs w:val="28"/>
        </w:rPr>
        <w:t>,</w:t>
      </w:r>
      <w:r w:rsidR="00196B66" w:rsidRPr="00196B66">
        <w:rPr>
          <w:szCs w:val="28"/>
        </w:rPr>
        <w:t>01</w:t>
      </w:r>
      <w:r w:rsidR="00196B66">
        <w:rPr>
          <w:szCs w:val="28"/>
        </w:rPr>
        <w:t> 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196B66">
        <w:t xml:space="preserve">от </w:t>
      </w:r>
      <w:bookmarkStart w:id="0" w:name="_GoBack"/>
      <w:r w:rsidR="00196B66">
        <w:t>21.12.2022</w:t>
      </w:r>
      <w:bookmarkEnd w:id="0"/>
      <w:r w:rsidR="00196B66">
        <w:t xml:space="preserve"> № 31-209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расходов над доходами районного бюджета в 2022 году определить в размере </w:t>
      </w:r>
      <w:r w:rsidR="008D6C5C" w:rsidRPr="000103B6">
        <w:rPr>
          <w:sz w:val="28"/>
          <w:szCs w:val="28"/>
        </w:rPr>
        <w:t>1</w:t>
      </w:r>
      <w:r w:rsidR="00196B66" w:rsidRPr="00196B66">
        <w:rPr>
          <w:sz w:val="28"/>
          <w:szCs w:val="28"/>
        </w:rPr>
        <w:t>0</w:t>
      </w:r>
      <w:r w:rsidR="008D6C5C" w:rsidRPr="000103B6">
        <w:rPr>
          <w:sz w:val="28"/>
          <w:szCs w:val="28"/>
        </w:rPr>
        <w:t> </w:t>
      </w:r>
      <w:r w:rsidR="00196B66" w:rsidRPr="00196B66">
        <w:rPr>
          <w:sz w:val="28"/>
          <w:szCs w:val="28"/>
        </w:rPr>
        <w:t>460</w:t>
      </w:r>
      <w:r w:rsidR="008D6C5C" w:rsidRPr="000103B6">
        <w:rPr>
          <w:sz w:val="28"/>
          <w:szCs w:val="28"/>
        </w:rPr>
        <w:t> </w:t>
      </w:r>
      <w:r w:rsidR="00196B66" w:rsidRPr="00196B66">
        <w:rPr>
          <w:sz w:val="28"/>
          <w:szCs w:val="28"/>
        </w:rPr>
        <w:t>267</w:t>
      </w:r>
      <w:r w:rsidR="008D6C5C" w:rsidRPr="000103B6">
        <w:rPr>
          <w:sz w:val="28"/>
          <w:szCs w:val="28"/>
        </w:rPr>
        <w:t>,</w:t>
      </w:r>
      <w:r w:rsidR="00196B66" w:rsidRPr="00196B66">
        <w:rPr>
          <w:sz w:val="28"/>
          <w:szCs w:val="28"/>
        </w:rPr>
        <w:t>83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</w:t>
      </w:r>
      <w:r w:rsidR="00F54B3D">
        <w:rPr>
          <w:sz w:val="28"/>
          <w:szCs w:val="28"/>
        </w:rPr>
        <w:t>я</w:t>
      </w:r>
      <w:r w:rsidR="00616B72">
        <w:rPr>
          <w:sz w:val="28"/>
          <w:szCs w:val="28"/>
        </w:rPr>
        <w:t xml:space="preserve">, или </w:t>
      </w:r>
      <w:r w:rsidR="00196B66" w:rsidRPr="00196B66">
        <w:rPr>
          <w:sz w:val="28"/>
          <w:szCs w:val="28"/>
        </w:rPr>
        <w:t>12</w:t>
      </w:r>
      <w:r w:rsidR="00616B72">
        <w:rPr>
          <w:sz w:val="28"/>
          <w:szCs w:val="28"/>
        </w:rPr>
        <w:t>,</w:t>
      </w:r>
      <w:r w:rsidR="00196B66" w:rsidRPr="00196B66">
        <w:rPr>
          <w:sz w:val="28"/>
          <w:szCs w:val="28"/>
        </w:rPr>
        <w:t>3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196B66">
        <w:t>от 21.12.2022 № 31-209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lastRenderedPageBreak/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196B66">
        <w:t>от 21.12.2022 № 31-209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196B66">
        <w:t>от 21.12.2022 № 31-209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</w:t>
      </w:r>
      <w:r w:rsidR="008B27DF">
        <w:rPr>
          <w:szCs w:val="28"/>
        </w:rPr>
        <w:t>0</w:t>
      </w:r>
      <w:r w:rsidR="009120CA">
        <w:rPr>
          <w:szCs w:val="28"/>
        </w:rPr>
        <w:t> </w:t>
      </w:r>
      <w:r w:rsidR="00196B66" w:rsidRPr="00196B66">
        <w:rPr>
          <w:szCs w:val="28"/>
        </w:rPr>
        <w:t>506</w:t>
      </w:r>
      <w:r w:rsidR="009120CA">
        <w:rPr>
          <w:szCs w:val="28"/>
        </w:rPr>
        <w:t> </w:t>
      </w:r>
      <w:r w:rsidR="00196B66" w:rsidRPr="00196B66">
        <w:rPr>
          <w:szCs w:val="28"/>
        </w:rPr>
        <w:t>634</w:t>
      </w:r>
      <w:r w:rsidR="009120CA">
        <w:rPr>
          <w:szCs w:val="28"/>
        </w:rPr>
        <w:t>,</w:t>
      </w:r>
      <w:r>
        <w:rPr>
          <w:szCs w:val="28"/>
        </w:rPr>
        <w:t>6</w:t>
      </w:r>
      <w:r w:rsidR="00196B66" w:rsidRPr="00196B66">
        <w:rPr>
          <w:szCs w:val="28"/>
        </w:rPr>
        <w:t>6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196B66">
        <w:t>от 21.12.2022 № 31-209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8B27DF">
        <w:rPr>
          <w:szCs w:val="28"/>
        </w:rPr>
        <w:t>5</w:t>
      </w:r>
      <w:r w:rsidR="00196B66" w:rsidRPr="00196B66">
        <w:rPr>
          <w:szCs w:val="28"/>
        </w:rPr>
        <w:t>1</w:t>
      </w:r>
      <w:r w:rsidR="00D3569E">
        <w:rPr>
          <w:szCs w:val="28"/>
        </w:rPr>
        <w:t> </w:t>
      </w:r>
      <w:r w:rsidR="00196B66" w:rsidRPr="00196B66">
        <w:rPr>
          <w:szCs w:val="28"/>
        </w:rPr>
        <w:t>622</w:t>
      </w:r>
      <w:r w:rsidR="00D3569E">
        <w:rPr>
          <w:szCs w:val="28"/>
        </w:rPr>
        <w:t> </w:t>
      </w:r>
      <w:r w:rsidR="00196B66" w:rsidRPr="00196B66">
        <w:rPr>
          <w:szCs w:val="28"/>
        </w:rPr>
        <w:t>298</w:t>
      </w:r>
      <w:r w:rsidR="00D3569E">
        <w:rPr>
          <w:szCs w:val="28"/>
        </w:rPr>
        <w:t>,</w:t>
      </w:r>
      <w:r w:rsidR="00196B66" w:rsidRPr="00196B66">
        <w:rPr>
          <w:szCs w:val="28"/>
        </w:rPr>
        <w:t>13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196B66">
        <w:t>от 21.12.2022 № 31-209</w:t>
      </w:r>
      <w:r>
        <w:t>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>
        <w:rPr>
          <w:szCs w:val="28"/>
        </w:rPr>
        <w:t>272</w:t>
      </w:r>
      <w:r w:rsidR="007F79DD" w:rsidRPr="00C1034B">
        <w:rPr>
          <w:szCs w:val="28"/>
        </w:rPr>
        <w:t> </w:t>
      </w:r>
      <w:r>
        <w:rPr>
          <w:szCs w:val="28"/>
        </w:rPr>
        <w:t>877</w:t>
      </w:r>
      <w:r w:rsidR="007F79DD" w:rsidRPr="00C1034B">
        <w:rPr>
          <w:szCs w:val="28"/>
        </w:rPr>
        <w:t>,</w:t>
      </w:r>
      <w:r>
        <w:rPr>
          <w:szCs w:val="28"/>
        </w:rPr>
        <w:t>1</w:t>
      </w:r>
      <w:r w:rsidR="00F229CB" w:rsidRPr="00C1034B">
        <w:rPr>
          <w:szCs w:val="28"/>
        </w:rPr>
        <w:t>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731DF" w:rsidRPr="00C731DF" w:rsidRDefault="00C731DF" w:rsidP="00C731DF">
      <w:pPr>
        <w:pStyle w:val="ad"/>
        <w:spacing w:line="276" w:lineRule="auto"/>
        <w:rPr>
          <w:sz w:val="24"/>
          <w:szCs w:val="28"/>
        </w:rPr>
      </w:pPr>
      <w:r w:rsidRPr="00C731DF">
        <w:rPr>
          <w:sz w:val="24"/>
        </w:rPr>
        <w:t>(в ред. решения Совета от 24.08.2022 № 26-171)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7F05A0">
        <w:rPr>
          <w:szCs w:val="28"/>
        </w:rPr>
        <w:t>5</w:t>
      </w:r>
      <w:r w:rsidR="00B17152" w:rsidRPr="00B17152">
        <w:rPr>
          <w:szCs w:val="28"/>
        </w:rPr>
        <w:t>92</w:t>
      </w:r>
      <w:r w:rsidR="00CE102D">
        <w:rPr>
          <w:szCs w:val="28"/>
        </w:rPr>
        <w:t> </w:t>
      </w:r>
      <w:r w:rsidR="00B17152" w:rsidRPr="00B17152">
        <w:rPr>
          <w:szCs w:val="28"/>
        </w:rPr>
        <w:t>494</w:t>
      </w:r>
      <w:r w:rsidR="00CE102D">
        <w:rPr>
          <w:szCs w:val="28"/>
        </w:rPr>
        <w:t> </w:t>
      </w:r>
      <w:r w:rsidR="00B17152" w:rsidRPr="00B17152">
        <w:rPr>
          <w:szCs w:val="28"/>
        </w:rPr>
        <w:t>586</w:t>
      </w:r>
      <w:r w:rsidR="00CE102D">
        <w:rPr>
          <w:szCs w:val="28"/>
        </w:rPr>
        <w:t>,</w:t>
      </w:r>
      <w:r w:rsidR="00B17152" w:rsidRPr="00B17152">
        <w:rPr>
          <w:szCs w:val="28"/>
        </w:rPr>
        <w:t>21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7F05A0">
        <w:rPr>
          <w:szCs w:val="28"/>
        </w:rPr>
        <w:t>8</w:t>
      </w:r>
      <w:r w:rsidR="008A3A0C" w:rsidRPr="008A3A0C">
        <w:rPr>
          <w:szCs w:val="28"/>
        </w:rPr>
        <w:t> </w:t>
      </w:r>
      <w:r w:rsidR="00B17152" w:rsidRPr="00B17152">
        <w:rPr>
          <w:szCs w:val="28"/>
        </w:rPr>
        <w:t>764</w:t>
      </w:r>
      <w:r w:rsidR="008A3A0C" w:rsidRPr="008A3A0C">
        <w:rPr>
          <w:szCs w:val="28"/>
        </w:rPr>
        <w:t> </w:t>
      </w:r>
      <w:r w:rsidR="00B17152" w:rsidRPr="00B17152">
        <w:rPr>
          <w:szCs w:val="28"/>
        </w:rPr>
        <w:t>415</w:t>
      </w:r>
      <w:r w:rsidR="008A3A0C" w:rsidRPr="008A3A0C">
        <w:rPr>
          <w:szCs w:val="28"/>
        </w:rPr>
        <w:t>,</w:t>
      </w:r>
      <w:r w:rsidR="00A06152">
        <w:rPr>
          <w:szCs w:val="28"/>
        </w:rPr>
        <w:t>7</w:t>
      </w:r>
      <w:r w:rsidR="00B17152" w:rsidRPr="00B17152">
        <w:rPr>
          <w:szCs w:val="28"/>
        </w:rPr>
        <w:t>3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>32</w:t>
      </w:r>
      <w:r w:rsidR="00D377B8">
        <w:rPr>
          <w:szCs w:val="28"/>
        </w:rPr>
        <w:t> </w:t>
      </w:r>
      <w:r w:rsidR="008E6999" w:rsidRPr="008E6999">
        <w:rPr>
          <w:szCs w:val="28"/>
        </w:rPr>
        <w:t>215</w:t>
      </w:r>
      <w:r w:rsidR="00D377B8">
        <w:rPr>
          <w:szCs w:val="28"/>
        </w:rPr>
        <w:t> </w:t>
      </w:r>
      <w:r w:rsidR="008E6999" w:rsidRPr="008E6999">
        <w:rPr>
          <w:szCs w:val="28"/>
        </w:rPr>
        <w:t xml:space="preserve">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D377B8">
        <w:rPr>
          <w:szCs w:val="28"/>
        </w:rPr>
        <w:t>6</w:t>
      </w:r>
      <w:r w:rsidRPr="00A41837">
        <w:rPr>
          <w:szCs w:val="28"/>
        </w:rPr>
        <w:t> </w:t>
      </w:r>
      <w:r w:rsidR="00B17152" w:rsidRPr="00B17152">
        <w:rPr>
          <w:szCs w:val="28"/>
        </w:rPr>
        <w:t>549</w:t>
      </w:r>
      <w:r w:rsidRPr="00A41837">
        <w:rPr>
          <w:szCs w:val="28"/>
        </w:rPr>
        <w:t> </w:t>
      </w:r>
      <w:r w:rsidR="00B17152" w:rsidRPr="00B17152">
        <w:rPr>
          <w:szCs w:val="28"/>
        </w:rPr>
        <w:t>052</w:t>
      </w:r>
      <w:r w:rsidRPr="00A41837">
        <w:rPr>
          <w:szCs w:val="28"/>
        </w:rPr>
        <w:t>,</w:t>
      </w:r>
      <w:r w:rsidR="004F6B4D">
        <w:rPr>
          <w:szCs w:val="28"/>
        </w:rPr>
        <w:t>7</w:t>
      </w:r>
      <w:r w:rsidR="00B17152" w:rsidRPr="00B17152">
        <w:rPr>
          <w:szCs w:val="28"/>
        </w:rPr>
        <w:t>3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 xml:space="preserve">(в ред. решения Совета </w:t>
      </w:r>
      <w:r w:rsidR="00B17152">
        <w:t>от 21.12.2022 № 31-209</w:t>
      </w:r>
      <w:r w:rsidRPr="00A45430">
        <w:rPr>
          <w:sz w:val="24"/>
        </w:rPr>
        <w:t>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B17152">
        <w:t>от 21.12.2022 № 31-209</w:t>
      </w:r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>Д.И. Дизер</w:t>
            </w:r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F7676D">
          <w:rPr>
            <w:noProof/>
          </w:rPr>
          <w:t>10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7168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6B66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152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377B8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4B3D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7676D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681"/>
    <o:shapelayout v:ext="edit">
      <o:idmap v:ext="edit" data="1"/>
    </o:shapelayout>
  </w:shapeDefaults>
  <w:decimalSymbol w:val=","/>
  <w:listSeparator w:val=";"/>
  <w15:docId w15:val="{688E4976-75F4-40FF-9B90-E93776BC60D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F70362E-F5F3-40E4-8593-CDA1332423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14</Pages>
  <Words>4457</Words>
  <Characters>25405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29803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4</cp:revision>
  <cp:lastPrinted>2021-11-11T04:23:00Z</cp:lastPrinted>
  <dcterms:created xsi:type="dcterms:W3CDTF">2022-12-29T09:52:00Z</dcterms:created>
  <dcterms:modified xsi:type="dcterms:W3CDTF">2022-12-30T05:39:00Z</dcterms:modified>
</cp:coreProperties>
</file>